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1.png" ContentType="image/png"/>
  <Override PartName="/word/media/rId35.png" ContentType="image/png"/>
  <Override PartName="/word/media/rId34.png" ContentType="image/png"/>
  <Override PartName="/word/media/rId29.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rPr>
          <w:i/>
        </w:rPr>
        <w:t xml:space="preserve">(needs to be re-written)</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climate, tree size, and slowly changing environmental drivers. This has limited the potential to use tree-rings to understand forest productivity, its climate sensitivity, and its global change responses.</w:t>
      </w:r>
    </w:p>
    <w:p>
      <w:pPr>
        <w:numPr>
          <w:ilvl w:val="0"/>
          <w:numId w:val="1002"/>
        </w:numPr>
      </w:pPr>
      <w:r>
        <w:t xml:space="preserve">Here, we develop a new method to simultaneously model non-linear effects of principle climate drivers and reconstructed tree diameter (</w:t>
      </w:r>
      <m:oMath>
        <m:r>
          <m:t>D</m:t>
        </m:r>
        <m:r>
          <m:t>B</m:t>
        </m:r>
        <m:r>
          <m:t>H</m:t>
        </m:r>
      </m:oMath>
      <w:r>
        <w:t xml:space="preserve">).</w:t>
      </w:r>
      <w:r>
        <w:t xml:space="preserve"> </w:t>
      </w:r>
      <w:r>
        <w:t xml:space="preserve">Specifically, after identifying the most important climate drivers and theirtime window of influence, we use generalized least squares models to model growth while accounting for the temporal autocorrelation inherent to each individual tree’s growth.</w:t>
      </w:r>
      <w:r>
        <w:t xml:space="preserve"> </w:t>
      </w:r>
      <w:r>
        <w:t xml:space="preserve">We apply this method to tree-ring data from 3884 trees representing 41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 After accounting for</w:t>
      </w:r>
      <w:r>
        <w:t xml:space="preserve"> </w:t>
      </w:r>
      <m:oMath>
        <m:r>
          <m:t>D</m:t>
        </m:r>
        <m:r>
          <m:t>B</m:t>
        </m:r>
        <m:r>
          <m:t>H</m:t>
        </m:r>
      </m:oMath>
      <w:r>
        <w:t xml:space="preserve">, growth rate varied directionally over time in most species– declining in most (#%).</w:t>
      </w:r>
    </w:p>
    <w:p>
      <w:pPr>
        <w:numPr>
          <w:ilvl w:val="0"/>
          <w:numId w:val="1002"/>
        </w:numPr>
      </w:pPr>
      <w:r>
        <w:t xml:space="preserve">Our method provides a rigorous analytical framework for statistically modeling tree growth responses to the most important climate drivers,</w:t>
      </w:r>
      <w:r>
        <w:t xml:space="preserve"> </w:t>
      </w:r>
      <m:oMath>
        <m:r>
          <m:t>D</m:t>
        </m:r>
        <m:r>
          <m:t>B</m:t>
        </m:r>
        <m:r>
          <m:t>H</m:t>
        </m:r>
      </m:oMath>
      <w:r>
        <w:t xml:space="preserve">, and year 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that significant</w:t>
      </w:r>
      <w:r>
        <w:t xml:space="preserve"> </w:t>
      </w:r>
      <m:oMath>
        <m:r>
          <m:t>D</m:t>
        </m:r>
        <m:r>
          <m:t>B</m:t>
        </m:r>
        <m:r>
          <m:t>H</m:t>
        </m:r>
      </m:oMath>
      <w:r>
        <w:t xml:space="preserve"> </w:t>
      </w:r>
      <w:r>
        <w:t xml:space="preserve">- climate interactions are common, and that growth rates often change over time.</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rPr>
          <w:b/>
        </w:rPr>
        <w:t xml:space="preserve"> </w:t>
      </w:r>
      <w:r>
        <w:rPr>
          <w:b/>
        </w:rPr>
        <w:t xml:space="preserve">(Amoroso et al., 2017; Fritts &amp; Swetnam, 1989)</w:t>
      </w:r>
      <w:r>
        <w:rPr>
          <w:b/>
        </w:rP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 Rollinson et al., n.d.)</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 Sánchez-Salguero et al., 2015)</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[Fritz 1976?(DENDRO_REFS)],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rPr>
          <w:b/>
        </w:rPr>
        <w:t xml:space="preserve">Characterizing how tree growth and forest productivity are responding to global change (slowly-changing environmental drivers) is very challenging and uncertain.</w:t>
      </w:r>
    </w:p>
    <w:p>
      <w:pPr>
        <w:numPr>
          <w:ilvl w:val="0"/>
          <w:numId w:val="1003"/>
        </w:numPr>
      </w:pPr>
      <w:r>
        <w:t xml:space="preserve">directional climate change (as opposed to variation), CO</w:t>
      </w:r>
      <w:r>
        <w:rPr>
          <w:vertAlign w:val="subscript"/>
        </w:rPr>
        <w:t xml:space="preserve">2</w:t>
      </w:r>
      <w:r>
        <w:t xml:space="preserve">, and atmospheric deposition are all potentially influencing tree growth.</w:t>
      </w:r>
    </w:p>
    <w:p>
      <w:pPr>
        <w:numPr>
          <w:ilvl w:val="0"/>
          <w:numId w:val="1003"/>
        </w:numPr>
      </w:pPr>
      <w:r>
        <w:t xml:space="preserve">at the same time, stand dynamics influence growth; many forests are secondary, and ANPP_woody may decline as stands age</w:t>
      </w:r>
    </w:p>
    <w:p>
      <w:pPr>
        <w:numPr>
          <w:ilvl w:val="0"/>
          <w:numId w:val="1003"/>
        </w:numPr>
      </w:pPr>
      <w:r>
        <w:t xml:space="preserve">a variety of methods are used to account for simultaneous changes in tree size, including… (DENDRO_REFS).</w:t>
      </w:r>
    </w:p>
    <w:p>
      <w:pPr>
        <w:numPr>
          <w:ilvl w:val="0"/>
          <w:numId w:val="1003"/>
        </w:numPr>
      </w:pPr>
      <w:r>
        <w:t xml:space="preserve">One commonly applied approach is to assume that</w:t>
      </w:r>
      <w:r>
        <w:t xml:space="preserve"> </w:t>
      </w:r>
      <m:oMath>
        <m:r>
          <m:t>B</m:t>
        </m:r>
        <m:r>
          <m:t>A</m:t>
        </m:r>
        <m:r>
          <m:t>I</m:t>
        </m:r>
      </m:oMath>
      <w:r>
        <w:t xml:space="preserve"> </w:t>
      </w:r>
      <w:r>
        <w:t xml:space="preserve">is fundamentally independent of size (DENDRO_REFS).</w:t>
      </w:r>
    </w:p>
    <w:p>
      <w:pPr>
        <w:numPr>
          <w:ilvl w:val="0"/>
          <w:numId w:val="1003"/>
        </w:numPr>
      </w:pPr>
      <w:r>
        <w:t xml:space="preserve">None of these methods is fully satisfactory, being subject to various sampling and analysis biases</w:t>
      </w:r>
      <w:r>
        <w:t xml:space="preserve"> </w:t>
      </w:r>
      <w:r>
        <w:t xml:space="preserve">(Cherubini et al., 1998; Nehrbass-Ahles et al., 2014)</w:t>
      </w:r>
      <w:r>
        <w:t xml:space="preserve">, leaving great uncertainty as to what the tree-ring record can tell us about the impact of rising CO</w:t>
      </w:r>
      <w:r>
        <w:rPr>
          <w:vertAlign w:val="subscript"/>
        </w:rPr>
        <w:t xml:space="preserve">2</w:t>
      </w:r>
      <w:r>
        <w:t xml:space="preserve"> </w:t>
      </w:r>
      <w:r>
        <w:t xml:space="preserve">(Sullivan et al., 2016; Walker et al., 2020)</w:t>
      </w:r>
      <w:r>
        <w:t xml:space="preserve">.</w:t>
      </w:r>
    </w:p>
    <w:p>
      <w:pPr>
        <w:numPr>
          <w:ilvl w:val="0"/>
          <w:numId w:val="1003"/>
        </w:numPr>
      </w:pPr>
      <w:r>
        <w:t xml:space="preserve">It is necessary to</w:t>
      </w:r>
      <w:r>
        <w:t xml:space="preserve"> </w:t>
      </w:r>
      <w:r>
        <w:rPr>
          <w:i/>
        </w:rPr>
        <w:t xml:space="preserve">simultaneously</w:t>
      </w:r>
      <w:r>
        <w:t xml:space="preserve"> </w:t>
      </w:r>
      <w:r>
        <w:t xml:space="preserve">account for the influences of changing tree size and environmental drivers.</w:t>
      </w:r>
    </w:p>
    <w:p>
      <w:pPr>
        <w:pStyle w:val="FirstParagraph"/>
      </w:pPr>
      <w:r>
        <w:rPr>
          <w:b/>
        </w:rPr>
        <w:t xml:space="preserve">Here, we develop a new method that allows simultaneous consideration of the effects of principle climate drivers (pre-selected in an objective manner), tree size and year on annual tree growth.</w:t>
      </w:r>
      <w:r>
        <w:t xml:space="preserve"> </w:t>
      </w:r>
      <w:r>
        <w:t xml:space="preserve">This allows us to ask:</w:t>
      </w:r>
      <w:r>
        <w:t xml:space="preserve"> </w:t>
      </w:r>
      <w:r>
        <w:rPr>
          <w:i/>
        </w:rP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r>
        <w:t xml:space="preserve"> </w:t>
      </w:r>
      <w:r>
        <w:t xml:space="preserve">(5)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within 10 km (n=#),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306174"/>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306174"/>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4259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3915368"/>
            <wp:effectExtent b="0" l="0" r="0" t="0"/>
            <wp:docPr descr="Figure 1 | DRAFT Schematic illustrating our analysis process. This analysis was conducted separately for each site (step 1) and species (step 2)."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was conducted separately for each site (step 1) and species (step 2).</w:t>
      </w:r>
    </w:p>
    <w:bookmarkStart w:id="30"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From coauthors: Include formula. 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2012)</w:t>
      </w:r>
      <w:r>
        <w:t xml:space="preserve">.</w:t>
      </w:r>
      <w:r>
        <w:t xml:space="preserve"> </w:t>
      </w:r>
      <w:r>
        <w:t xml:space="preserve">We ultimately determined that the method described above was adequate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Species that failed to meet this criteria (n=</w:t>
      </w:r>
      <w:r>
        <w:t xml:space="preserve"> </w:t>
      </w:r>
      <w:r>
        <w:rPr>
          <w:b/>
        </w:rPr>
        <w:t xml:space="preserve">N</w:t>
      </w:r>
      <w:r>
        <w:t xml:space="preserve">) were excluded from this analysis.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separately analyzed</w:t>
      </w:r>
      <w:r>
        <w:t xml:space="preserve"> </w:t>
      </w:r>
      <m:oMath>
        <m:r>
          <m:t>D</m:t>
        </m:r>
        <m:r>
          <m:t>B</m:t>
        </m:r>
        <m:r>
          <m:t>H</m:t>
        </m:r>
      </m:oMath>
      <w:r>
        <w:t xml:space="preserve">-growth relationships by decade (Appendix S6).</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3"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7 of 20 cases, both the optimal climate variable and time window were identical across growth metrics (e.g., Fig. S5).</w:t>
      </w:r>
      <w:r>
        <w:t xml:space="preserve"> </w:t>
      </w:r>
      <w:r>
        <w:t xml:space="preserve">In 11 cases,</w:t>
      </w:r>
      <w:r>
        <w:t xml:space="preserve"> </w:t>
      </w:r>
      <w:r>
        <w:rPr>
          <w:i/>
        </w:rPr>
        <w:t xml:space="preserve">climwin</w:t>
      </w:r>
      <w:r>
        <w:t xml:space="preserve"> </w:t>
      </w:r>
      <w:r>
        <w:t xml:space="preserve">identified the same climate variable but different (often overlapping) time windows (e.g., Fig. S6).</w:t>
      </w:r>
      <w:r>
        <w:t xml:space="preserve"> </w:t>
      </w:r>
      <w:r>
        <w:t xml:space="preserve">Finally, in two cases of variables that had only weak effects and mixed responses among species in the final models (temperature variable group at HKK, precipitation variable group at HF; Figs. 3, S10, S13),</w:t>
      </w:r>
      <w:r>
        <w:t xml:space="preserve"> </w:t>
      </w:r>
      <w:r>
        <w:rPr>
          <w:i/>
        </w:rPr>
        <w:t xml:space="preserve">climwin</w:t>
      </w:r>
      <w:r>
        <w:t xml:space="preserve"> </w:t>
      </w:r>
      <w:r>
        <w:t xml:space="preserve">identified different climate variables and different time windows (e.g., Fig. S8).</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eight site-species combinations for which only a precipitation term was significant (2 at BCNM, 3 at SCBI, 2 at LDW, and 1 at CB), one for which only a temperature term was significant (CHTA 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7429499"/>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three extratropical sites (LDW, NIO, and CB), the most influential windows were limited to the current spring and early summer, whereas optimal windows at two sites extended back to the previous fall (LT)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w:t>
      </w:r>
      <w:r>
        <w:rPr>
          <w:i/>
        </w:rPr>
        <w:t xml:space="preserve"># of #</w:t>
      </w:r>
      <w:r>
        <w:t xml:space="preserve"> </w:t>
      </w:r>
      <w:r>
        <w:t xml:space="preserve">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w:t>
      </w:r>
      <w:r>
        <w:rPr>
          <w:i/>
        </w:rPr>
        <w:t xml:space="preserve">#</w:t>
      </w:r>
      <w:r>
        <w:t xml:space="preserve">% of species;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the previous growing season (NIO), or a 13-month window extending from past to current growing season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(i.e.,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w:t>
      </w:r>
      <w:r>
        <w:t xml:space="preserve"> </w:t>
      </w:r>
      <w:r>
        <w:rPr>
          <w:b/>
        </w:rPr>
        <w:t xml:space="preserve">CREATE AN SI FIGURE!</w:t>
      </w:r>
      <w:r>
        <w:t xml:space="preserve">).</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34 of 42), and the majority of best models included a significant second-order linear</w:t>
      </w:r>
      <w:r>
        <w:t xml:space="preserve"> </w:t>
      </w:r>
      <m:oMath>
        <m:r>
          <m:t>D</m:t>
        </m:r>
        <m:r>
          <m:t>B</m:t>
        </m:r>
        <m:r>
          <m:t>H</m:t>
        </m:r>
      </m:oMath>
      <w:r>
        <w:t xml:space="preserve"> </w:t>
      </w:r>
      <w:r>
        <w:t xml:space="preserve">term (n= 25, 22 of which were negative; Table</w:t>
      </w:r>
      <w:r>
        <w:t xml:space="preserve"> </w:t>
      </w:r>
      <w:r>
        <w:rPr>
          <w:b/>
        </w:rPr>
        <w:t xml:space="preserve">S#</w:t>
      </w:r>
      <w:r>
        <w:t xml:space="preser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41 of 42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 non-significant negative coefficient for</w:t>
      </w:r>
      <w:r>
        <w:t xml:space="preserve"> </w:t>
      </w:r>
      <w:r>
        <w:rPr>
          <w:i/>
        </w:rPr>
        <w:t xml:space="preserve">Pinus ponderosa</w:t>
      </w:r>
      <w:r>
        <w:t xml:space="preserve"> </w:t>
      </w:r>
      <w:r>
        <w:t xml:space="preserve">at LT, whose reconstructed DBH extended down to only 15cm within the time frame analyzed) and universally negative coefficients for</w:t>
      </w:r>
      <w:r>
        <w:t xml:space="preserve"> </w:t>
      </w:r>
      <m:oMath>
        <m:r>
          <m:t>D</m:t>
        </m:r>
        <m:r>
          <m:t>B</m:t>
        </m:r>
        <m:sSup>
          <m:e>
            <m:r>
              <m:t>H</m:t>
            </m:r>
          </m:e>
          <m:sup>
            <m:r>
              <m:t>2</m:t>
            </m:r>
          </m:sup>
        </m:sSup>
      </m:oMath>
      <w:r>
        <w:t xml:space="preserve">.</w:t>
      </w:r>
      <w:r>
        <w:t xml:space="preserve"> </w:t>
      </w:r>
      <w:r>
        <w:t xml:space="preserve">For</w:t>
      </w:r>
      <w:r>
        <w:t xml:space="preserve"> </w:t>
      </w:r>
      <m:oMath>
        <m:r>
          <m:t>Δ</m:t>
        </m:r>
        <m:r>
          <m:t>A</m:t>
        </m:r>
        <m:r>
          <m:t>G</m:t>
        </m:r>
        <m:r>
          <m:t>B</m:t>
        </m:r>
      </m:oMath>
      <w:r>
        <w:t xml:space="preserve">, models were even more consistent, with the best models for 100%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w:t>
      </w:r>
    </w:p>
    <w:p>
      <w:pPr>
        <w:pStyle w:val="CaptionedFigure"/>
      </w:pPr>
      <w:r>
        <w:drawing>
          <wp:inline>
            <wp:extent cx="5943600" cy="7429499"/>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S9-S18).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S9-S18).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S11).</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S16).</w:t>
      </w:r>
      <w:r>
        <w:t xml:space="preserve"> </w:t>
      </w:r>
      <w:r>
        <w:t xml:space="preserve">The relative importance of climate was modest (but still significant) at sites including SCBI (Fig. S11), HF (Fig. S13), and SC (Fig. S18), and stronger at sites including BCNM (Fig. S9) and LT (Fig. S16).</w:t>
      </w:r>
    </w:p>
    <w:p>
      <w:pPr>
        <w:pStyle w:val="BodyText"/>
      </w:pPr>
      <w:r>
        <w:t xml:space="preserve">Interactive effects of climate and</w:t>
      </w:r>
      <w:r>
        <w:t xml:space="preserve"> </w:t>
      </w:r>
      <m:oMath>
        <m:r>
          <m:t>D</m:t>
        </m:r>
        <m:r>
          <m:t>B</m:t>
        </m:r>
        <m:r>
          <m:t>H</m:t>
        </m:r>
      </m:oMath>
      <w:r>
        <w:t xml:space="preserve"> </w:t>
      </w:r>
      <w:r>
        <w:t xml:space="preserve">were found for 82 of the 219 (37%) species-variable combinations for which they could be tested.</w:t>
      </w:r>
      <w:r>
        <w:t xml:space="preserve"> </w:t>
      </w:r>
      <w:r>
        <w:t xml:space="preserve">For precipitation variables, interactions were significant for 34% of interactions with</w:t>
      </w:r>
      <w:r>
        <w:t xml:space="preserve"> </w:t>
      </w:r>
      <m:oMath>
        <m:r>
          <m:t>R</m:t>
        </m:r>
        <m:r>
          <m:t>W</m:t>
        </m:r>
      </m:oMath>
      <w:r>
        <w:t xml:space="preserve"> </w:t>
      </w:r>
      <w:r>
        <w:t xml:space="preserve">as the growth metric and for 47% with</w:t>
      </w:r>
      <w:r>
        <w:t xml:space="preserve"> </w:t>
      </w:r>
      <m:oMath>
        <m:r>
          <m:t>B</m:t>
        </m:r>
        <m:r>
          <m:t>A</m:t>
        </m:r>
        <m:r>
          <m:t>I</m:t>
        </m:r>
      </m:oMath>
      <w:r>
        <w:t xml:space="preserve"> </w:t>
      </w:r>
      <w:r>
        <w:t xml:space="preserve">as the growth metric (Table S6).</w:t>
      </w:r>
      <w:r>
        <w:t xml:space="preserve"> </w:t>
      </w:r>
      <w:r>
        <w:t xml:space="preserve">The majority of these interactions were positive (77% for</w:t>
      </w:r>
      <w:r>
        <w:t xml:space="preserve"> </w:t>
      </w:r>
      <m:oMath>
        <m:r>
          <m:t>R</m:t>
        </m:r>
        <m:r>
          <m:t>W</m:t>
        </m:r>
      </m:oMath>
      <w:r>
        <w:t xml:space="preserve">; 67%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(n=3 for</w:t>
      </w:r>
      <w:r>
        <w:t xml:space="preserve"> </w:t>
      </w:r>
      <m:oMath>
        <m:r>
          <m:t>R</m:t>
        </m:r>
        <m:r>
          <m:t>W</m:t>
        </m:r>
      </m:oMath>
      <w:r>
        <w:t xml:space="preserve">, 6 for</w:t>
      </w:r>
      <w:r>
        <w:t xml:space="preserve"> </w:t>
      </w:r>
      <m:oMath>
        <m:r>
          <m:t>B</m:t>
        </m:r>
        <m:r>
          <m:t>A</m:t>
        </m:r>
        <m:r>
          <m:t>I</m:t>
        </m:r>
      </m:oMath>
      <w:r>
        <w:t xml:space="preserve">), only a minority (n=1 for</w:t>
      </w:r>
      <w:r>
        <w:t xml:space="preserve"> </w:t>
      </w:r>
      <m:oMath>
        <m:r>
          <m:t>R</m:t>
        </m:r>
        <m:r>
          <m:t>W</m:t>
        </m:r>
      </m:oMath>
      <w:r>
        <w:t xml:space="preserve">, 3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and for 29% with</w:t>
      </w:r>
      <w:r>
        <w:t xml:space="preserve"> </w:t>
      </w:r>
      <m:oMath>
        <m:r>
          <m:t>B</m:t>
        </m:r>
        <m:r>
          <m:t>A</m:t>
        </m:r>
        <m:r>
          <m:t>I</m:t>
        </m:r>
      </m:oMath>
      <w:r>
        <w:t xml:space="preserve"> </w:t>
      </w:r>
      <w:r>
        <w:t xml:space="preserve">as the growth metric (Table S6).</w:t>
      </w:r>
      <w:r>
        <w:t xml:space="preserve"> </w:t>
      </w:r>
      <w:r>
        <w:t xml:space="preserve">Directions of these interactions were mixed, with 5 of 13 significant interactions negative with</w:t>
      </w:r>
      <w:r>
        <w:t xml:space="preserve"> </w:t>
      </w:r>
      <m:oMath>
        <m:r>
          <m:t>R</m:t>
        </m:r>
        <m:r>
          <m:t>W</m:t>
        </m:r>
      </m:oMath>
      <w:r>
        <w:t xml:space="preserve"> </w:t>
      </w:r>
      <w:r>
        <w:t xml:space="preserve">as the growth metric and 6 of 10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BodyText"/>
      </w:pPr>
      <w:r>
        <w:rPr>
          <w:b/>
        </w:rPr>
        <w:t xml:space="preserve">figure on climate - DBH interactions? EFFECT SEEMS TO BE FAIRLY STRONG AT LT AND MAYBE SC (NEEDS UPDATING)</w:t>
      </w:r>
      <w:r>
        <w:t xml:space="preserve"> </w:t>
      </w:r>
      <w:r>
        <w:t xml:space="preserve">(</w:t>
      </w:r>
      <w:r>
        <w:rPr>
          <w:i/>
        </w:rPr>
        <w:t xml:space="preserve">See</w:t>
      </w:r>
      <w:r>
        <w:rPr>
          <w:i/>
        </w:rPr>
        <w:t xml:space="preserve"> </w:t>
      </w:r>
      <w:hyperlink r:id="rId39">
        <w:r>
          <w:rPr>
            <w:rStyle w:val="Hyperlink"/>
            <w:i/>
          </w:rPr>
          <w:t xml:space="preserve">ISSUE #42 in ForestGEO-climate-sensitivity</w:t>
        </w:r>
      </w:hyperlink>
      <w:r>
        <w:t xml:space="preserve">)</w:t>
      </w:r>
    </w:p>
    <w:p>
      <w:pPr>
        <w:pStyle w:val="CaptionedFigure"/>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p>
      <w:pPr>
        <w:pStyle w:val="ImageCaption"/>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bookmarkEnd w:id="40"/>
    <w:bookmarkStart w:id="42" w:name="Effects"/>
    <w:p>
      <w:pPr>
        <w:pStyle w:val="Heading2"/>
      </w:pPr>
      <w:r>
        <w:t xml:space="preserve">Effects of year</w:t>
      </w:r>
    </w:p>
    <w:p>
      <w:pPr>
        <w:pStyle w:val="FirstParagraph"/>
      </w:pPr>
      <w:r>
        <w:rPr>
          <w:i/>
        </w:rPr>
        <w:t xml:space="preserve">(tentative results. We’re not yet getting the constraints on scope right. It is messing up on POTR, for which only ~20 yrs of data get included.)</w:t>
      </w:r>
    </w:p>
    <w:p>
      <w:pPr>
        <w:pStyle w:val="BodyText"/>
      </w:pPr>
      <w:r>
        <w:t xml:space="preserve">There was a significant effect of</w:t>
      </w:r>
      <w:r>
        <w:t xml:space="preserve"> </w:t>
      </w:r>
      <w:r>
        <w:rPr>
          <w:rStyle w:val="VerbatimChar"/>
        </w:rPr>
        <w:t xml:space="preserve">year</w:t>
      </w:r>
      <w:r>
        <w:t xml:space="preserve"> </w:t>
      </w:r>
      <w:r>
        <w:t xml:space="preserve">in the GLS models for 32 - 36 (depending on growth metric) of the 40 species- site combinations tested (Table S6), and these trends matched those observed in a separate analysis of</w:t>
      </w:r>
      <w:r>
        <w:t xml:space="preserve"> </w:t>
      </w:r>
      <m:oMath>
        <m:r>
          <m:t>D</m:t>
        </m:r>
        <m:r>
          <m:t>B</m:t>
        </m:r>
        <m:r>
          <m:t>H</m:t>
        </m:r>
      </m:oMath>
      <w:r>
        <w:t xml:space="preserve">-growth relationships by year (Appendix S6;</w:t>
      </w:r>
      <w:r>
        <w:t xml:space="preserve"> </w:t>
      </w:r>
      <w:r>
        <w:rPr>
          <w:b/>
        </w:rPr>
        <w:t xml:space="preserve">ADD SI FIGS</w:t>
      </w:r>
      <w:r>
        <w:t xml:space="preserve">).</w:t>
      </w:r>
      <w:r>
        <w:t xml:space="preserve"> </w:t>
      </w:r>
      <w:r>
        <w:t xml:space="preserve">In the majority of cases (91-94%, depending on growth metric), the growth trend over time was negative.</w:t>
      </w:r>
      <w:r>
        <w:t xml:space="preserve"> </w:t>
      </w:r>
      <w:r>
        <w:t xml:space="preserve">Declines were particularly dramatic (</w:t>
      </w:r>
      <w:r>
        <w:rPr>
          <w:b/>
        </w:rPr>
        <w:t xml:space="preserve">give some criteria</w:t>
      </w:r>
      <w:r>
        <w:t xml:space="preserve">) for</w:t>
      </w:r>
      <w:r>
        <w:t xml:space="preserve"> </w:t>
      </w:r>
      <w:r>
        <w:rPr>
          <w:i/>
        </w:rPr>
        <w:t xml:space="preserve">all four species at Harvard Forest, PIPO at Little Tesuque,</w:t>
      </w:r>
      <w:r>
        <w:rPr>
          <w:i/>
        </w:rPr>
        <w:t xml:space="preserve"> </w:t>
      </w:r>
      <w:r>
        <w:rPr>
          <w:b/>
          <w:i/>
        </w:rPr>
        <w:t xml:space="preserve">POTR at Cedar Breaks</w:t>
      </w:r>
      <w:r>
        <w:rPr>
          <w:i/>
        </w:rPr>
        <w:t xml:space="preserve">, and PIMA at Scotty Creek</w:t>
      </w:r>
      <w:r>
        <w:t xml:space="preserve"> </w:t>
      </w:r>
      <w:r>
        <w:t xml:space="preserve">(Fig. 6).</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6).</w:t>
      </w:r>
      <w:r>
        <w:t xml:space="preserve"> </w:t>
      </w:r>
      <w:r>
        <w:t xml:space="preserve">Significant positive growth trends were observed for only three species, FASY at ZOF, PIPU and</w:t>
      </w:r>
      <w:r>
        <w:t xml:space="preserve"> </w:t>
      </w:r>
      <w:r>
        <w:rPr>
          <w:b/>
        </w:rPr>
        <w:t xml:space="preserve">POTR</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Fraxinus nigra</w:t>
      </w:r>
      <w:r>
        <w:t xml:space="preserve"> </w:t>
      </w:r>
      <w:r>
        <w:t xml:space="preserve">at SCBI, and</w:t>
      </w:r>
      <w:r>
        <w:t xml:space="preserve"> </w:t>
      </w:r>
      <w:r>
        <w:rPr>
          <w:i/>
        </w:rPr>
        <w:t xml:space="preserve">Picea engelmannii</w:t>
      </w:r>
      <w:r>
        <w:t xml:space="preserve"> </w:t>
      </w:r>
      <w:r>
        <w:t xml:space="preserve">and</w:t>
      </w:r>
      <w:r>
        <w:t xml:space="preserve"> </w:t>
      </w:r>
      <w:r>
        <w:rPr>
          <w:i/>
        </w:rPr>
        <w:t xml:space="preserve">Pinus flexilis</w:t>
      </w:r>
      <w:r>
        <w:t xml:space="preserve"> </w:t>
      </w:r>
      <w:r>
        <w:t xml:space="preserve">at CB.</w:t>
      </w:r>
    </w:p>
    <w:p>
      <w:pPr>
        <w:pStyle w:val="CaptionedFigure"/>
      </w:pPr>
      <w:r>
        <w:drawing>
          <wp:inline>
            <wp:extent cx="5943600" cy="7429499"/>
            <wp:effectExtent b="0" l="0" r="0" t="0"/>
            <wp:docPr descr="**Figure 6 | (Responses to year, for species tested)." title="" id="1" name="Picture"/>
            <a:graphic>
              <a:graphicData uri="http://schemas.openxmlformats.org/drawingml/2006/picture">
                <pic:pic>
                  <pic:nvPicPr>
                    <pic:cNvPr descr="tables_figures/Year_responses.png" id="0" name="Picture"/>
                    <pic:cNvPicPr>
                      <a:picLocks noChangeArrowheads="1" noChangeAspect="1"/>
                    </pic:cNvPicPr>
                  </pic:nvPicPr>
                  <pic:blipFill>
                    <a:blip r:embed="rId4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t xml:space="preserve">**Figure 6 | (Responses to year, for species tested).</w:t>
      </w:r>
    </w:p>
    <w:bookmarkEnd w:id="42"/>
    <w:bookmarkEnd w:id="43"/>
    <w:bookmarkStart w:id="50" w:name="Discussion"/>
    <w:p>
      <w:pPr>
        <w:pStyle w:val="Heading1"/>
      </w:pPr>
      <w:r>
        <w:t xml:space="preserve">Discussion</w:t>
      </w:r>
    </w:p>
    <w:p>
      <w:pPr>
        <w:pStyle w:val="FirstParagraph"/>
      </w:pPr>
      <w:r>
        <w:rPr>
          <w:b/>
        </w:rPr>
        <w:t xml:space="preserve">Our new tree-ring analysis method allows simultaneous consideration of the effects of dominant climate drivers, tree size, and slowly changing environmental drivers on annual growth (Fig. 1), yielding results that are consistent with those that would be obtained using conventional methods (Figs. 2, S1-S4; Table S5) and with our current understanding of forest dynamics.</w:t>
      </w:r>
      <w:r>
        <w:t xml:space="preserve"> </w:t>
      </w:r>
      <w:r>
        <w:t xml:space="preserve">Across diverse climates and forest types (Table 1), growth rates of 41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t xml:space="preserve">Additive effects of water and temperature variables, usually over different time windows, occurred for most species, and nonlinear responses were common.</w:t>
      </w:r>
      <w:r>
        <w:t xml:space="preserve"> </w:t>
      </w:r>
      <w:r>
        <w:t xml:space="preserve">Interactions between climate variables and</w:t>
      </w:r>
      <w:r>
        <w:t xml:space="preserve"> </w:t>
      </w:r>
      <m:oMath>
        <m:r>
          <m:t>D</m:t>
        </m:r>
        <m:r>
          <m:t>B</m:t>
        </m:r>
        <m:r>
          <m:t>H</m:t>
        </m:r>
      </m:oMath>
      <w:r>
        <w:t xml:space="preserve"> </w:t>
      </w:r>
      <w:r>
        <w:t xml:space="preserve">not unusual (Table S6, Fig. 5), with larger trees tending to be more drought sensitive (REFS).</w:t>
      </w:r>
      <w:r>
        <w:t xml:space="preserve"> </w:t>
      </w: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and was dependent upon species ecology in interaction with stand history and global change drivers (Figs. 4, 6).</w:t>
      </w:r>
      <w:r>
        <w:t xml:space="preserve"> </w:t>
      </w:r>
      <w:r>
        <w:t xml:space="preserve">It is notable that growth rates of most species declined…</w:t>
      </w:r>
      <w:r>
        <w:t xml:space="preserve"> </w:t>
      </w:r>
      <w:r>
        <w:t xml:space="preserve">While none of these findings are biologically surprising, the simultaneous modeling of growth responses to climate,</w:t>
      </w:r>
      <w:r>
        <w:t xml:space="preserve"> </w:t>
      </w:r>
      <m:oMath>
        <m:r>
          <m:t>D</m:t>
        </m:r>
        <m:r>
          <m:t>B</m:t>
        </m:r>
        <m:r>
          <m:t>H</m:t>
        </m:r>
      </m:oMath>
      <w:r>
        <w:t xml:space="preserve">, and year offers a fuller picture of the drivers of tree growth in an era of global change.</w:t>
      </w:r>
    </w:p>
    <w:bookmarkStart w:id="44" w:name="Climate"/>
    <w:p>
      <w:pPr>
        <w:pStyle w:val="Heading2"/>
      </w:pPr>
      <w:r>
        <w:t xml:space="preserve">Climate sensitivity</w:t>
      </w:r>
    </w:p>
    <w:p>
      <w:pPr>
        <w:pStyle w:val="FirstParagraph"/>
      </w:pPr>
      <w:r>
        <w:rPr>
          <w:i/>
        </w:rPr>
        <w:t xml:space="preserve">(corroboration of insight from conventional methods)</w:t>
      </w:r>
    </w:p>
    <w:p>
      <w:pPr>
        <w:pStyle w:val="BodyText"/>
      </w:pPr>
      <w:r>
        <w:rPr>
          <w:b/>
        </w:rPr>
        <w:t xml:space="preserve">Our results are broadly consistent with those obtained by traditional methods, revealing similar climate sensitivities (Figs. 2, S1-S4; Table S5).</w:t>
      </w:r>
      <w:r>
        <w:t xml:space="preserve"> </w:t>
      </w:r>
      <w:r>
        <w:t xml:space="preserve">An advantage to our approach is that that the use of</w:t>
      </w:r>
      <w:r>
        <w:t xml:space="preserve"> </w:t>
      </w:r>
      <w:r>
        <w:rPr>
          <w:i/>
        </w:rPr>
        <w:t xml:space="preserve">climwin</w:t>
      </w:r>
      <w:r>
        <w:t xml:space="preserve"> </w:t>
      </w:r>
      <w:r>
        <w:t xml:space="preserve">allowed automated, objective selection of the strongest climate drivers and the time windows over which they were most influential.</w:t>
      </w:r>
      <w:r>
        <w:t xml:space="preserve"> </w:t>
      </w:r>
      <w:r>
        <w:t xml:space="preserve">Note that the use of</w:t>
      </w:r>
      <w:r>
        <w:t xml:space="preserve"> </w:t>
      </w:r>
      <w:r>
        <w:rPr>
          <w:i/>
        </w:rPr>
        <w:t xml:space="preserve">climwin</w:t>
      </w:r>
      <w:r>
        <w:t xml:space="preserve"> </w:t>
      </w:r>
      <w:r>
        <w:t xml:space="preserve">itself is analytically convenient, but does not alter results relative to what would be obtained via a more conventional approach; numerous climate drivers and time windows can be compared without climwin (e.g., REFS), and</w:t>
      </w:r>
      <w:r>
        <w:t xml:space="preserve"> </w:t>
      </w:r>
      <w:r>
        <w:rPr>
          <w:i/>
        </w:rPr>
        <w:t xml:space="preserve">climwin</w:t>
      </w:r>
      <w:r>
        <w:t xml:space="preserve"> </w:t>
      </w:r>
      <w:r>
        <w:t xml:space="preserve">could also be used on residual chronologies (</w:t>
      </w:r>
      <w:r>
        <w:rPr>
          <w:b/>
        </w:rPr>
        <w:t xml:space="preserve">AND WE DID THIS– ADD SI FIGURE AS EXAMPLE?</w:t>
      </w:r>
      <w:r>
        <w:t xml:space="preserve">).</w:t>
      </w:r>
      <w:r>
        <w:t xml:space="preserve"> </w:t>
      </w:r>
      <w:r>
        <w:t xml:space="preserve">Where our approach differs fundamentally from traditional methods is in analyzing climate sensitivity of the full sample of individual cores, as opposed to a residual chronology in which variance has been standardized and the individual cores have been averaged.</w:t>
      </w:r>
      <w:r>
        <w:t xml:space="preserve"> </w:t>
      </w:r>
      <w:r>
        <w:t xml:space="preserve">The result is that our approach yields climate correlations with greater variance but lower standard error of slope estimates (Figs. S1-S4).</w:t>
      </w:r>
      <w:r>
        <w:t xml:space="preserve"> </w:t>
      </w:r>
      <w:r>
        <w:t xml:space="preserve">Differences in slope between the two approaches are expected giving the methodological differences (Appendix S4), and were rarely statistically significant.</w:t>
      </w:r>
      <w:r>
        <w:t xml:space="preserve"> </w:t>
      </w:r>
      <w:r>
        <w:t xml:space="preserve">(</w:t>
      </w:r>
      <w:r>
        <w:rPr>
          <w:i/>
        </w:rPr>
        <w:t xml:space="preserve">add some discussion on why we expect different slopes?</w:t>
      </w:r>
      <w:r>
        <w:t xml:space="preserve">)</w:t>
      </w:r>
      <w:r>
        <w:t xml:space="preserve"> </w:t>
      </w:r>
      <w:r>
        <w:t xml:space="preserve">Another way in which the current analysis differed from conventional methods is that we pooled species when determining the top climate drivers (</w:t>
      </w:r>
      <w:r>
        <w:rPr>
          <w:i/>
        </w:rPr>
        <w:t xml:space="preserve">climwin</w:t>
      </w:r>
      <w:r>
        <w:t xml:space="preserve"> </w:t>
      </w:r>
      <w:r>
        <w:t xml:space="preserve">step; Fig. 1).</w:t>
      </w:r>
      <w:r>
        <w:t xml:space="preserve"> </w:t>
      </w:r>
      <w:r>
        <w:t xml:space="preserve">This decision was motivated by the expectation that differences in optimal climate windows across species in one site (e.g., Fig. 2) would be minimal compared to cross-site differences, and for the practical consideration that determining optimal climate windows for each species would be computationally intensive and challenging to present.</w:t>
      </w:r>
      <w:r>
        <w:t xml:space="preserve"> </w:t>
      </w:r>
      <w:r>
        <w:t xml:space="preserve">However, species-specific climate sensitivity estimates could be optimized by fitting</w:t>
      </w:r>
      <w:r>
        <w:t xml:space="preserve"> </w:t>
      </w:r>
      <w:r>
        <w:rPr>
          <w:i/>
        </w:rPr>
        <w:t xml:space="preserve">climwin</w:t>
      </w:r>
      <w:r>
        <w:t xml:space="preserve"> </w:t>
      </w:r>
      <w:r>
        <w:t xml:space="preserve">individually be species.</w:t>
      </w:r>
      <w:r>
        <w:t xml:space="preserve"> </w:t>
      </w:r>
      <w:r>
        <w:t xml:space="preserve">While our method sometimes may sometimes pick out different climate variables and time windows than would be identified via conventional methods, as a whole the identified drivers and directions of response are consistent with conventional methods (Table S5).</w:t>
      </w:r>
    </w:p>
    <w:p>
      <w:pPr>
        <w:pStyle w:val="BodyText"/>
      </w:pPr>
      <w:r>
        <w:rPr>
          <w:b/>
        </w:rPr>
        <w:t xml:space="preserve">While yielding broadly similar results to conventional analyses, our analysis yielded new insights that would not have been found with conventional methods.</w:t>
      </w:r>
    </w:p>
    <w:p>
      <w:pPr>
        <w:numPr>
          <w:ilvl w:val="0"/>
          <w:numId w:val="1004"/>
        </w:numPr>
      </w:pPr>
      <w:r>
        <w:t xml:space="preserve">additive effects are prevalent, and time windows often differ (trees tend to be sensitive to water over longer time scales (makes sense– lags caused by soil moisture storage)</w:t>
      </w:r>
    </w:p>
    <w:p>
      <w:pPr>
        <w:numPr>
          <w:ilvl w:val="0"/>
          <w:numId w:val="1004"/>
        </w:numPr>
      </w:pPr>
      <w:r>
        <w:t xml:space="preserve">nonlinear effects are prevalent</w:t>
      </w:r>
    </w:p>
    <w:p>
      <w:pPr>
        <w:numPr>
          <w:ilvl w:val="0"/>
          <w:numId w:val="1004"/>
        </w:numPr>
      </w:pPr>
      <w:r>
        <w:t xml:space="preserve">DBH interactions –also potentially attributable to year– are common</w:t>
      </w:r>
    </w:p>
    <w:bookmarkEnd w:id="44"/>
    <w:bookmarkStart w:id="47" w:name="Size"/>
    <w:p>
      <w:pPr>
        <w:pStyle w:val="Heading2"/>
      </w:pPr>
      <w:r>
        <w:t xml:space="preserve">Size trends</w:t>
      </w:r>
    </w:p>
    <w:p>
      <w:pPr>
        <w:pStyle w:val="FirstParagraph"/>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et al., 2014)</w:t>
      </w:r>
      <w:r>
        <w:t xml:space="preserve">, where it presumably established under open conditions (</w:t>
      </w:r>
      <w:r>
        <w:rPr>
          <w:i/>
        </w:rPr>
        <w:t xml:space="preserve">Baker 2005, Ecological monographs</w:t>
      </w:r>
      <w:r>
        <w:t xml:space="preserv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 (</w:t>
      </w:r>
      <w:r>
        <w:rPr>
          <w:i/>
        </w:rPr>
        <w:t xml:space="preserve">DENDRO_REFS: See refs in Biondi and Qeadan 2008. Tree-Ring Research 64:81-96.; There are several earlier references in B&amp;B 2006 describing this pattern.</w:t>
      </w:r>
      <w:r>
        <w:rPr>
          <w:i/>
        </w:rPr>
        <w:t xml:space="preserve"> </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w:t>
      </w:r>
      <w:r>
        <w:rPr>
          <w:i/>
        </w:rPr>
        <w:t xml:space="preserve">see Cherubini et al. 1998</w:t>
      </w:r>
      <w:r>
        <w:t xml:space="preserve">),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45">
        <w:r>
          <w:rPr>
            <w:rStyle w:val="Hyperlink"/>
            <w:i/>
          </w:rPr>
          <w:t xml:space="preserve">Clark et al. 2007?</w:t>
        </w:r>
      </w:hyperlink>
      <w:r>
        <w:rPr>
          <w:i/>
        </w:rPr>
        <w:t xml:space="preserve">;</w:t>
      </w:r>
      <w:r>
        <w:rPr>
          <w:i/>
        </w:rPr>
        <w:t xml:space="preserve"> </w:t>
      </w:r>
      <w:hyperlink r:id="rId46">
        <w:r>
          <w:rPr>
            <w:rStyle w:val="Hyperlink"/>
            <w:i/>
          </w:rPr>
          <w:t xml:space="preserve">Schleip et al. 2015</w:t>
        </w:r>
      </w:hyperlink>
      <w:r>
        <w:t xml:space="preserve">).</w:t>
      </w:r>
      <w:r>
        <w:t xml:space="preserve"> </w:t>
      </w:r>
      <w:r>
        <w:t xml:space="preserve">–</w:t>
      </w:r>
      <w:r>
        <w:t xml:space="preserve"> </w:t>
      </w:r>
      <w:r>
        <w:rPr>
          <w:i/>
        </w:rPr>
        <w:t xml:space="preserve">from PB: I think the one thing that is very hard to take into account (and which you noted in bold at the start of the paragraph) is stand history. I worry about looking for/finding general patterns just on tree size, as that ignores the historical dynamics that might influence these patterns.</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bookmarkEnd w:id="47"/>
    <w:bookmarkStart w:id="48" w:name="Changing"/>
    <w:p>
      <w:pPr>
        <w:pStyle w:val="Heading2"/>
      </w:pPr>
      <w:r>
        <w:t xml:space="preserve">Changing growth rates</w:t>
      </w:r>
    </w:p>
    <w:p>
      <w:pPr>
        <w:pStyle w:val="FirstParagraph"/>
      </w:pPr>
      <w:r>
        <w:t xml:space="preserve">Growth rates are changing directionally for most species/ sites.</w:t>
      </w:r>
    </w:p>
    <w:p>
      <w:pPr>
        <w:pStyle w:val="BodyText"/>
      </w:pPr>
      <w:r>
        <w:t xml:space="preserve">Stand dynamics strongly affect stand structure and therefore tree diameter and growth trends.</w:t>
      </w:r>
    </w:p>
    <w:p>
      <w:pPr>
        <w:pStyle w:val="BodyText"/>
      </w:pPr>
      <w:r>
        <w:rPr>
          <w:i/>
        </w:rPr>
        <w:t xml:space="preserve">corroboration of existing evidence</w:t>
      </w:r>
    </w:p>
    <w:p>
      <w:pPr>
        <w:pStyle w:val="BodyText"/>
      </w:pPr>
      <w:r>
        <w:t xml:space="preserve">At HKK,</w:t>
      </w:r>
      <w:r>
        <w:t xml:space="preserve"> </w:t>
      </w:r>
      <w:r>
        <w:t xml:space="preserve">Nock et al. (2011)</w:t>
      </w:r>
      <w:r>
        <w:t xml:space="preserve"> </w:t>
      </w:r>
      <w:r>
        <w:t xml:space="preserve">observed decreases in BAI (by standardized size classes) over time</w:t>
      </w:r>
    </w:p>
    <w:p>
      <w:pPr>
        <w:pStyle w:val="BodyText"/>
      </w:pPr>
      <w:r>
        <w:rPr>
          <w:i/>
        </w:rPr>
        <w:t xml:space="preserve">new insight</w:t>
      </w:r>
    </w:p>
    <w:p>
      <w:pPr>
        <w:pStyle w:val="BodyText"/>
      </w:pPr>
      <w:r>
        <w:t xml:space="preserve">Analyses of CO</w:t>
      </w:r>
      <w:r>
        <w:rPr>
          <w:vertAlign w:val="subscript"/>
        </w:rPr>
        <w:t xml:space="preserve">2</w:t>
      </w:r>
      <w:r>
        <w:t xml:space="preserve"> </w:t>
      </w:r>
      <w:r>
        <w:t xml:space="preserve">effects reach inconsistent conclusions because of stand dynamics, sampling bias, analysis methods…</w:t>
      </w:r>
    </w:p>
    <w:p>
      <w:pPr>
        <w:pStyle w:val="BodyText"/>
      </w:pPr>
      <w:r>
        <w:t xml:space="preserve">We believe our analysis methods to be robust,</w:t>
      </w:r>
    </w:p>
    <w:p>
      <w:pPr>
        <w:pStyle w:val="BodyText"/>
      </w:pPr>
      <w:r>
        <w:t xml:space="preserve">Our sampling varies by sites, and sites analyzed have decent year x DBH coverage, but biases could remain (need to do some research on this, believe it’s mostly stand dynamics)</w:t>
      </w:r>
    </w:p>
    <w:p>
      <w:pPr>
        <w:pStyle w:val="BodyText"/>
      </w:pPr>
      <w:r>
        <w:t xml:space="preserve">Main bias would be stand dynamics. This is probably the case at secondary forests (HF, SCBI…). Even within mature forests, light-demanding species that establish in gaps (JACO at BCNM, MEAZ at HKK) would tend to experience an increasingly competitive environment.</w:t>
      </w:r>
    </w:p>
    <w:p>
      <w:pPr>
        <w:pStyle w:val="BodyText"/>
      </w:pPr>
      <w:r>
        <w:t xml:space="preserve">In stands with no known stand-clearing disturbance within or shortly prior to the analysis time frame (ZOF?, NM?, CB, SC), trends would represent more gradual successional trends or responses to global change.</w:t>
      </w:r>
    </w:p>
    <w:p>
      <w:pPr>
        <w:pStyle w:val="BodyText"/>
      </w:pPr>
      <w:r>
        <w:t xml:space="preserve">At NM and SC, rapid declines in growth make sense in light of rapid climate change. They also correspond to observations of high tree mortality rates.</w:t>
      </w:r>
    </w:p>
    <w:p>
      <w:pPr>
        <w:pStyle w:val="BodyText"/>
      </w:pPr>
      <w:r>
        <w:t xml:space="preserve">At ZOF and CB, trends are more mixed…</w:t>
      </w:r>
    </w:p>
    <w:p>
      <w:pPr>
        <w:pStyle w:val="BodyText"/>
      </w:pPr>
      <w:r>
        <w:t xml:space="preserve">(</w:t>
      </w:r>
      <w:r>
        <w:rPr>
          <w:i/>
        </w:rPr>
        <w:t xml:space="preserve">conclusions</w:t>
      </w:r>
      <w:r>
        <w:t xml:space="preserve">)</w:t>
      </w:r>
      <w:r>
        <w:t xml:space="preserve"> </w:t>
      </w:r>
      <w:r>
        <w:t xml:space="preserve">Altogether, results obtained using our analysis method reveal a much richer picture of the factors influencing tree growth than has previously been possible.</w:t>
      </w:r>
      <w:r>
        <w:t xml:space="preserve"> </w:t>
      </w:r>
      <w:r>
        <w:t xml:space="preserve">We find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w:t>
      </w:r>
      <w:r>
        <w:t xml:space="preserve"> </w:t>
      </w:r>
      <w:r>
        <w:t xml:space="preserve">that growth–measured by any metric–almost universally varies with</w:t>
      </w:r>
      <w:r>
        <w:t xml:space="preserve"> </w:t>
      </w:r>
      <m:oMath>
        <m:r>
          <m:t>D</m:t>
        </m:r>
        <m:r>
          <m:t>B</m:t>
        </m:r>
        <m:r>
          <m:t>H</m:t>
        </m:r>
      </m:oMath>
      <w:r>
        <w:t xml:space="preserve">,</w:t>
      </w:r>
      <w:r>
        <w:t xml:space="preserve"> </w:t>
      </w:r>
      <w:r>
        <w:t xml:space="preserve">and that growth of most species has been changing directionally in response to changing environment (stand successional status or global change).</w:t>
      </w:r>
      <w:r>
        <w:t xml:space="preserve"> </w:t>
      </w:r>
      <w:r>
        <w:t xml:space="preserve">These findings go against many of the assumptions that traditional dendrochronology methods, which sample and analyze data in order to minimize such effects.</w:t>
      </w:r>
      <w:r>
        <w:t xml:space="preserve"> </w:t>
      </w:r>
      <w:r>
        <w:t xml:space="preserve">However, from an ecological perspective, these effects are of great significance.</w:t>
      </w:r>
    </w:p>
    <w:p>
      <w:pPr>
        <w:pStyle w:val="BodyText"/>
      </w:pPr>
      <w:r>
        <w:t xml:space="preserve">~~~~</w:t>
      </w:r>
    </w:p>
    <w:bookmarkEnd w:id="48"/>
    <w:bookmarkStart w:id="49" w:name="Future"/>
    <w:p>
      <w:pPr>
        <w:pStyle w:val="Heading2"/>
      </w:pP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 disentangling DBH and year is tough)</w:t>
      </w:r>
    </w:p>
    <w:bookmarkEnd w:id="49"/>
    <w:bookmarkEnd w:id="50"/>
    <w:bookmarkStart w:id="51" w:name="Misc"/>
    <w:p>
      <w:pPr>
        <w:pStyle w:val="Heading1"/>
      </w:pPr>
      <w:r>
        <w:t xml:space="preserve">Misc content/ notes to integrate</w:t>
      </w:r>
    </w:p>
    <w:p>
      <w:pPr>
        <w:pStyle w:val="FirstParagraph"/>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w:t>
      </w:r>
      <w:r>
        <w:rPr>
          <w:i/>
        </w:rPr>
        <w:t xml:space="preserve">clarify what this means</w:t>
      </w:r>
      <w:r>
        <w:t xml:space="preserve">), conservative detrending and basal area correction</w:t>
      </w:r>
      <w:r>
        <w:t xml:space="preserve"> </w:t>
      </w:r>
      <w:r>
        <w:t xml:space="preserve">(see Peters et al.,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rPr>
          <w:strike/>
        </w:rPr>
        <w:t xml:space="preserve">but less sensitive to high temperatures</w:t>
      </w:r>
      <w:r>
        <w:rPr>
          <w:strike/>
        </w:rPr>
        <w:t xml:space="preserve"> </w:t>
      </w:r>
      <w:r>
        <w:rPr>
          <w:strike/>
        </w:rPr>
        <w:t xml:space="preserve">(Rollinson et al., n.d.)</w:t>
      </w:r>
      <w:r>
        <w:t xml:space="preserve">, implying that size should be considered in tree-ring analyses of climate sensitivity.</w:t>
      </w:r>
      <w:r>
        <w:t xml:space="preserve"> </w:t>
      </w:r>
      <w:r>
        <w:t xml:space="preserve">(</w:t>
      </w:r>
      <w:r>
        <w:t xml:space="preserve">Hacket-Pain et al.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r>
        <w:t xml:space="preserve"> </w:t>
      </w:r>
      <w:r>
        <w:t xml:space="preserve">To accomplish this, more tree-ring studies including all range of sizes of the stands are required, i.e., exhaustive sampling of plots [e.g. </w:t>
      </w:r>
      <w:r>
        <w:t xml:space="preserve">Sánchez-Salguero et al. (2015)</w:t>
      </w:r>
      <w:r>
        <w:t xml:space="preserve">; Alfaro-Sanchez et al. 2020;</w:t>
      </w:r>
      <w:r>
        <w:t xml:space="preserve"> </w:t>
      </w:r>
      <w:r>
        <w:rPr>
          <w:i/>
        </w:rPr>
        <w:t xml:space="preserve">LOTS MORE</w:t>
      </w:r>
      <w:r>
        <w:t xml:space="preserve">].</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p>
      <w:pPr>
        <w:pStyle w:val="BodyText"/>
      </w:pPr>
      <w:r>
        <w:t xml:space="preserve">Framework can be used with other variables.</w:t>
      </w:r>
    </w:p>
    <w:p>
      <w:pPr>
        <w:pStyle w:val="BodyText"/>
      </w:pPr>
      <w:r>
        <w:t xml:space="preserve">Scotty temperture responses are probably not physiological, but due to permafrost.</w:t>
      </w:r>
    </w:p>
    <w:bookmarkEnd w:id="51"/>
    <w:bookmarkStart w:id="52"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2"/>
    <w:bookmarkStart w:id="53"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3"/>
    <w:bookmarkStart w:id="54"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4"/>
    <w:bookmarkStart w:id="55"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5"/>
    <w:bookmarkStart w:id="190" w:name="References"/>
    <w:p>
      <w:pPr>
        <w:pStyle w:val="Heading1"/>
      </w:pPr>
      <w:r>
        <w:t xml:space="preserve">References</w:t>
      </w:r>
    </w:p>
    <w:bookmarkStart w:id="189" w:name="refs"/>
    <w:bookmarkStart w:id="57"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6">
        <w:r>
          <w:rPr>
            <w:rStyle w:val="Hyperlink"/>
          </w:rPr>
          <w:t xml:space="preserve">https://doi.org/10.1017/qua.2019.33</w:t>
        </w:r>
      </w:hyperlink>
    </w:p>
    <w:bookmarkEnd w:id="57"/>
    <w:bookmarkStart w:id="59"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8">
        <w:r>
          <w:rPr>
            <w:rStyle w:val="Hyperlink"/>
          </w:rPr>
          <w:t xml:space="preserve">https://doi.org/10.1007/s00468-017-1629-0</w:t>
        </w:r>
      </w:hyperlink>
    </w:p>
    <w:bookmarkEnd w:id="59"/>
    <w:bookmarkStart w:id="61"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60">
        <w:r>
          <w:rPr>
            <w:rStyle w:val="Hyperlink"/>
          </w:rPr>
          <w:t xml:space="preserve">https://doi.org/10.1007/s00442-017-3879-3</w:t>
        </w:r>
      </w:hyperlink>
    </w:p>
    <w:bookmarkEnd w:id="61"/>
    <w:bookmarkStart w:id="63"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62">
        <w:r>
          <w:rPr>
            <w:rStyle w:val="Hyperlink"/>
          </w:rPr>
          <w:t xml:space="preserve">https://doi.org/10.1007/978-3-319-61669-8</w:t>
        </w:r>
      </w:hyperlink>
    </w:p>
    <w:bookmarkEnd w:id="63"/>
    <w:bookmarkStart w:id="65"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4">
        <w:r>
          <w:rPr>
            <w:rStyle w:val="Hyperlink"/>
          </w:rPr>
          <w:t xml:space="preserve">https://doi.org/10.5281/ZENODO.3958215</w:t>
        </w:r>
      </w:hyperlink>
    </w:p>
    <w:bookmarkEnd w:id="65"/>
    <w:bookmarkStart w:id="67"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6">
        <w:r>
          <w:rPr>
            <w:rStyle w:val="Hyperlink"/>
          </w:rPr>
          <w:t xml:space="preserve">https://doi.org/10.1111/gcb.12712</w:t>
        </w:r>
      </w:hyperlink>
    </w:p>
    <w:bookmarkEnd w:id="67"/>
    <w:bookmarkStart w:id="69"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8">
        <w:r>
          <w:rPr>
            <w:rStyle w:val="Hyperlink"/>
          </w:rPr>
          <w:t xml:space="preserve">https://doi.org/10.1111/1365-2435.12470</w:t>
        </w:r>
      </w:hyperlink>
    </w:p>
    <w:bookmarkEnd w:id="69"/>
    <w:bookmarkStart w:id="71"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w:t>
      </w:r>
      <w:r>
        <w:t xml:space="preserve"> </w:t>
      </w:r>
      <w:hyperlink r:id="rId70">
        <w:r>
          <w:rPr>
            <w:rStyle w:val="Hyperlink"/>
          </w:rPr>
          <w:t xml:space="preserve">https://doi.org/10.1017/S0266467406003312</w:t>
        </w:r>
      </w:hyperlink>
    </w:p>
    <w:bookmarkEnd w:id="71"/>
    <w:bookmarkStart w:id="72"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2"/>
    <w:bookmarkStart w:id="74"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3">
        <w:r>
          <w:rPr>
            <w:rStyle w:val="Hyperlink"/>
          </w:rPr>
          <w:t xml:space="preserve">https://doi.org/10.1016/j.agrformet.2012.10.010</w:t>
        </w:r>
      </w:hyperlink>
    </w:p>
    <w:bookmarkEnd w:id="74"/>
    <w:bookmarkStart w:id="76"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5">
        <w:r>
          <w:rPr>
            <w:rStyle w:val="Hyperlink"/>
          </w:rPr>
          <w:t xml:space="preserve">https://doi.org/10.1038/nplants.2015.139</w:t>
        </w:r>
      </w:hyperlink>
    </w:p>
    <w:bookmarkEnd w:id="76"/>
    <w:bookmarkStart w:id="78"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77">
        <w:r>
          <w:rPr>
            <w:rStyle w:val="Hyperlink"/>
          </w:rPr>
          <w:t xml:space="preserve">https://doi.org/10.1078/1125-7865-00017</w:t>
        </w:r>
      </w:hyperlink>
    </w:p>
    <w:bookmarkEnd w:id="78"/>
    <w:bookmarkStart w:id="80"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79">
        <w:r>
          <w:rPr>
            <w:rStyle w:val="Hyperlink"/>
          </w:rPr>
          <w:t xml:space="preserve">https://doi.org/10.1139/cjfr-2018-0206</w:t>
        </w:r>
      </w:hyperlink>
    </w:p>
    <w:bookmarkEnd w:id="80"/>
    <w:bookmarkStart w:id="82"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1">
        <w:r>
          <w:rPr>
            <w:rStyle w:val="Hyperlink"/>
          </w:rPr>
          <w:t xml:space="preserve">https://doi.org/10.1111/gcb.13535</w:t>
        </w:r>
      </w:hyperlink>
    </w:p>
    <w:bookmarkEnd w:id="82"/>
    <w:bookmarkStart w:id="84"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83">
        <w:r>
          <w:rPr>
            <w:rStyle w:val="Hyperlink"/>
          </w:rPr>
          <w:t xml:space="preserve">https://doi.org/10.1111/gcb.13366</w:t>
        </w:r>
      </w:hyperlink>
    </w:p>
    <w:bookmarkEnd w:id="84"/>
    <w:bookmarkStart w:id="86"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5">
        <w:r>
          <w:rPr>
            <w:rStyle w:val="Hyperlink"/>
          </w:rPr>
          <w:t xml:space="preserve">https://doi.org/10.1111/ele.12650</w:t>
        </w:r>
      </w:hyperlink>
    </w:p>
    <w:bookmarkEnd w:id="86"/>
    <w:bookmarkStart w:id="88"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87">
        <w:r>
          <w:rPr>
            <w:rStyle w:val="Hyperlink"/>
          </w:rPr>
          <w:t xml:space="preserve">https://doi.org/10.1016/S0378-1127(98)00242-4</w:t>
        </w:r>
      </w:hyperlink>
    </w:p>
    <w:bookmarkEnd w:id="88"/>
    <w:bookmarkStart w:id="90"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89">
        <w:r>
          <w:rPr>
            <w:rStyle w:val="Hyperlink"/>
          </w:rPr>
          <w:t xml:space="preserve">https://doi.org/10.1007/BF00282374</w:t>
        </w:r>
      </w:hyperlink>
    </w:p>
    <w:bookmarkEnd w:id="90"/>
    <w:bookmarkStart w:id="92"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91">
        <w:r>
          <w:rPr>
            <w:rStyle w:val="Hyperlink"/>
          </w:rPr>
          <w:t xml:space="preserve">https://doi.org/10.1177/095968369700700314</w:t>
        </w:r>
      </w:hyperlink>
    </w:p>
    <w:bookmarkEnd w:id="92"/>
    <w:bookmarkStart w:id="94"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93">
        <w:r>
          <w:rPr>
            <w:rStyle w:val="Hyperlink"/>
          </w:rPr>
          <w:t xml:space="preserve">https://doi.org/10.1038/s41467-020-14300-5</w:t>
        </w:r>
      </w:hyperlink>
    </w:p>
    <w:bookmarkEnd w:id="94"/>
    <w:bookmarkStart w:id="96"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95">
        <w:r>
          <w:rPr>
            <w:rStyle w:val="Hyperlink"/>
          </w:rPr>
          <w:t xml:space="preserve">https://doi.org/10.1007/s10584-009-9594-2</w:t>
        </w:r>
      </w:hyperlink>
    </w:p>
    <w:bookmarkEnd w:id="96"/>
    <w:bookmarkStart w:id="98"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97">
        <w:r>
          <w:rPr>
            <w:rStyle w:val="Hyperlink"/>
          </w:rPr>
          <w:t xml:space="preserve">https://doi.org/10.1002/ecs2.1889</w:t>
        </w:r>
      </w:hyperlink>
    </w:p>
    <w:bookmarkEnd w:id="98"/>
    <w:bookmarkStart w:id="100"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99">
        <w:r>
          <w:rPr>
            <w:rStyle w:val="Hyperlink"/>
          </w:rPr>
          <w:t xml:space="preserve">https://doi.org/10.1002/ecm.1423</w:t>
        </w:r>
      </w:hyperlink>
    </w:p>
    <w:bookmarkEnd w:id="100"/>
    <w:bookmarkStart w:id="102"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01">
        <w:r>
          <w:rPr>
            <w:rStyle w:val="Hyperlink"/>
          </w:rPr>
          <w:t xml:space="preserve">https://doi.org/10.1016/j.foreco.2020.118717</w:t>
        </w:r>
      </w:hyperlink>
    </w:p>
    <w:bookmarkEnd w:id="102"/>
    <w:bookmarkStart w:id="104"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03">
        <w:r>
          <w:rPr>
            <w:rStyle w:val="Hyperlink"/>
          </w:rPr>
          <w:t xml:space="preserve">https://doi.org/10.1111/gcb.13208</w:t>
        </w:r>
      </w:hyperlink>
    </w:p>
    <w:bookmarkEnd w:id="104"/>
    <w:bookmarkStart w:id="106"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05">
        <w:r>
          <w:rPr>
            <w:rStyle w:val="Hyperlink"/>
          </w:rPr>
          <w:t xml:space="preserve">https://doi.org/10.1175/JCLI3800.1</w:t>
        </w:r>
      </w:hyperlink>
    </w:p>
    <w:bookmarkEnd w:id="106"/>
    <w:bookmarkStart w:id="107" w:name="ref-fritts_tree_1976"/>
    <w:p>
      <w:pPr>
        <w:pStyle w:val="Bibliography"/>
      </w:pPr>
      <w:r>
        <w:t xml:space="preserve">Fritts, H. C. (1976).</w:t>
      </w:r>
      <w:r>
        <w:t xml:space="preserve"> </w:t>
      </w:r>
      <w:r>
        <w:rPr>
          <w:i/>
        </w:rPr>
        <w:t xml:space="preserve">Tree rings and climate</w:t>
      </w:r>
      <w:r>
        <w:t xml:space="preserve">. Academic Press.</w:t>
      </w:r>
    </w:p>
    <w:bookmarkEnd w:id="107"/>
    <w:bookmarkStart w:id="109"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08">
        <w:r>
          <w:rPr>
            <w:rStyle w:val="Hyperlink"/>
          </w:rPr>
          <w:t xml:space="preserve">https://doi.org/10.1016/S0065-2504(08)60158-0</w:t>
        </w:r>
      </w:hyperlink>
    </w:p>
    <w:bookmarkEnd w:id="109"/>
    <w:bookmarkStart w:id="111"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10">
        <w:r>
          <w:rPr>
            <w:rStyle w:val="Hyperlink"/>
          </w:rPr>
          <w:t xml:space="preserve">https://doi.org/10.1007/s10021-020-00501-y</w:t>
        </w:r>
      </w:hyperlink>
    </w:p>
    <w:bookmarkEnd w:id="111"/>
    <w:bookmarkStart w:id="113"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12">
        <w:r>
          <w:rPr>
            <w:rStyle w:val="Hyperlink"/>
          </w:rPr>
          <w:t xml:space="preserve">https://doi.org/10.5281/ZENODO.4070038</w:t>
        </w:r>
      </w:hyperlink>
    </w:p>
    <w:bookmarkEnd w:id="113"/>
    <w:bookmarkStart w:id="115"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14">
        <w:r>
          <w:rPr>
            <w:rStyle w:val="Hyperlink"/>
          </w:rPr>
          <w:t xml:space="preserve">https://doi.org/10.2307/1937545</w:t>
        </w:r>
      </w:hyperlink>
    </w:p>
    <w:bookmarkEnd w:id="115"/>
    <w:bookmarkStart w:id="117"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16">
        <w:r>
          <w:rPr>
            <w:rStyle w:val="Hyperlink"/>
          </w:rPr>
          <w:t xml:space="preserve">https://doi.org/10.1007/s10342-016-0982-7</w:t>
        </w:r>
      </w:hyperlink>
    </w:p>
    <w:bookmarkEnd w:id="117"/>
    <w:bookmarkStart w:id="119"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18">
        <w:r>
          <w:rPr>
            <w:rStyle w:val="Hyperlink"/>
          </w:rPr>
          <w:t xml:space="preserve">https://doi.org/10.1002/joc.3711</w:t>
        </w:r>
      </w:hyperlink>
    </w:p>
    <w:bookmarkEnd w:id="119"/>
    <w:bookmarkStart w:id="121"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20">
        <w:r>
          <w:rPr>
            <w:rStyle w:val="Hyperlink"/>
          </w:rPr>
          <w:t xml:space="preserve">https://doi.org/10.1038/s41597-020-0453-3</w:t>
        </w:r>
      </w:hyperlink>
    </w:p>
    <w:bookmarkEnd w:id="121"/>
    <w:bookmarkStart w:id="123"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22">
        <w:r>
          <w:rPr>
            <w:rStyle w:val="Hyperlink"/>
          </w:rPr>
          <w:t xml:space="preserve">https://doi.org/10.1111/nph.15906</w:t>
        </w:r>
      </w:hyperlink>
    </w:p>
    <w:bookmarkEnd w:id="123"/>
    <w:bookmarkStart w:id="124"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24"/>
    <w:bookmarkStart w:id="126"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25">
        <w:r>
          <w:rPr>
            <w:rStyle w:val="Hyperlink"/>
          </w:rPr>
          <w:t xml:space="preserve">https://doi.org/10.1038/s41467-018-07800-y</w:t>
        </w:r>
      </w:hyperlink>
    </w:p>
    <w:bookmarkEnd w:id="126"/>
    <w:bookmarkStart w:id="128"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27">
        <w:r>
          <w:rPr>
            <w:rStyle w:val="Hyperlink"/>
          </w:rPr>
          <w:t xml:space="preserve">https://doi.org/10.1093/treephys/tpaa091</w:t>
        </w:r>
      </w:hyperlink>
    </w:p>
    <w:bookmarkEnd w:id="128"/>
    <w:bookmarkStart w:id="130"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29">
        <w:r>
          <w:rPr>
            <w:rStyle w:val="Hyperlink"/>
          </w:rPr>
          <w:t xml:space="preserve">https://doi.org/10.1111/nph.15668</w:t>
        </w:r>
      </w:hyperlink>
    </w:p>
    <w:bookmarkEnd w:id="130"/>
    <w:bookmarkStart w:id="132"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31">
        <w:r>
          <w:rPr>
            <w:rStyle w:val="Hyperlink"/>
          </w:rPr>
          <w:t xml:space="preserve">https://doi.org/10.1111/gcb.14273</w:t>
        </w:r>
      </w:hyperlink>
    </w:p>
    <w:bookmarkEnd w:id="132"/>
    <w:bookmarkStart w:id="134"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33">
        <w:r>
          <w:rPr>
            <w:rStyle w:val="Hyperlink"/>
          </w:rPr>
          <w:t xml:space="preserve">https://doi.org/10.1007/s10584-016-1720-3</w:t>
        </w:r>
      </w:hyperlink>
    </w:p>
    <w:bookmarkEnd w:id="134"/>
    <w:bookmarkStart w:id="136"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35">
        <w:r>
          <w:rPr>
            <w:rStyle w:val="Hyperlink"/>
          </w:rPr>
          <w:t xml:space="preserve">https://doi.org/10.1126/science.aaz9463</w:t>
        </w:r>
      </w:hyperlink>
    </w:p>
    <w:bookmarkEnd w:id="136"/>
    <w:bookmarkStart w:id="138"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37">
        <w:r>
          <w:rPr>
            <w:rStyle w:val="Hyperlink"/>
          </w:rPr>
          <w:t xml:space="preserve">https://doi.org/10.1111/nph.16996</w:t>
        </w:r>
      </w:hyperlink>
    </w:p>
    <w:bookmarkEnd w:id="138"/>
    <w:bookmarkStart w:id="140"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39">
        <w:r>
          <w:rPr>
            <w:rStyle w:val="Hyperlink"/>
          </w:rPr>
          <w:t xml:space="preserve">https://doi.org/10.1016/j.cageo.2011.01.013</w:t>
        </w:r>
      </w:hyperlink>
    </w:p>
    <w:bookmarkEnd w:id="140"/>
    <w:bookmarkStart w:id="141"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41"/>
    <w:bookmarkStart w:id="143"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42">
        <w:r>
          <w:rPr>
            <w:rStyle w:val="Hyperlink"/>
          </w:rPr>
          <w:t xml:space="preserve">https://doi.org/10.1111/gcb.12599</w:t>
        </w:r>
      </w:hyperlink>
    </w:p>
    <w:bookmarkEnd w:id="143"/>
    <w:bookmarkStart w:id="145"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44">
        <w:r>
          <w:rPr>
            <w:rStyle w:val="Hyperlink"/>
          </w:rPr>
          <w:t xml:space="preserve">https://doi.org/10.1111/j.1365-2486.2010.02222.x</w:t>
        </w:r>
      </w:hyperlink>
    </w:p>
    <w:bookmarkEnd w:id="145"/>
    <w:bookmarkStart w:id="147"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46">
        <w:r>
          <w:rPr>
            <w:rStyle w:val="Hyperlink"/>
          </w:rPr>
          <w:t xml:space="preserve">https://doi.org/10.1111/gcb.12826</w:t>
        </w:r>
      </w:hyperlink>
    </w:p>
    <w:bookmarkEnd w:id="147"/>
    <w:bookmarkStart w:id="149"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48">
        <w:r>
          <w:rPr>
            <w:rStyle w:val="Hyperlink"/>
          </w:rPr>
          <w:t xml:space="preserve">https://doi.org/10.1016/j.dendro.2020.125678</w:t>
        </w:r>
      </w:hyperlink>
    </w:p>
    <w:bookmarkEnd w:id="149"/>
    <w:bookmarkStart w:id="151"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50">
        <w:r>
          <w:rPr>
            <w:rStyle w:val="Hyperlink"/>
          </w:rPr>
          <w:t xml:space="preserve">https://doi.org/10.1111/2041-210X.12753</w:t>
        </w:r>
      </w:hyperlink>
    </w:p>
    <w:bookmarkEnd w:id="151"/>
    <w:bookmarkStart w:id="153"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152">
        <w:r>
          <w:rPr>
            <w:rStyle w:val="Hyperlink"/>
          </w:rPr>
          <w:t xml:space="preserve">https://doi.org/10.1002/ecy.3264</w:t>
        </w:r>
      </w:hyperlink>
    </w:p>
    <w:bookmarkEnd w:id="153"/>
    <w:bookmarkStart w:id="155"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154">
        <w:r>
          <w:rPr>
            <w:rStyle w:val="Hyperlink"/>
          </w:rPr>
          <w:t xml:space="preserve">https://doi.org/10.1111/j.1469-8137.2007.02235.x</w:t>
        </w:r>
      </w:hyperlink>
    </w:p>
    <w:bookmarkEnd w:id="155"/>
    <w:bookmarkStart w:id="157"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156">
        <w:r>
          <w:rPr>
            <w:rStyle w:val="Hyperlink"/>
          </w:rPr>
          <w:t xml:space="preserve">https://doi.org/10.1016/j.foreco.2015.08.034</w:t>
        </w:r>
      </w:hyperlink>
    </w:p>
    <w:bookmarkEnd w:id="157"/>
    <w:bookmarkStart w:id="159"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58">
        <w:r>
          <w:rPr>
            <w:rStyle w:val="Hyperlink"/>
          </w:rPr>
          <w:t xml:space="preserve">https://doi.org/10.1002/2016JG003528</w:t>
        </w:r>
      </w:hyperlink>
    </w:p>
    <w:bookmarkEnd w:id="159"/>
    <w:bookmarkStart w:id="160"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160"/>
    <w:bookmarkStart w:id="162"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61">
        <w:r>
          <w:rPr>
            <w:rStyle w:val="Hyperlink"/>
          </w:rPr>
          <w:t xml:space="preserve">https://doi.org/10.1038/nature12914</w:t>
        </w:r>
      </w:hyperlink>
    </w:p>
    <w:bookmarkEnd w:id="162"/>
    <w:bookmarkStart w:id="164"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63">
        <w:r>
          <w:rPr>
            <w:rStyle w:val="Hyperlink"/>
          </w:rPr>
          <w:t xml:space="preserve">https://doi.org/10.1126/science.aaw7578</w:t>
        </w:r>
      </w:hyperlink>
    </w:p>
    <w:bookmarkEnd w:id="164"/>
    <w:bookmarkStart w:id="166"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165">
        <w:r>
          <w:rPr>
            <w:rStyle w:val="Hyperlink"/>
          </w:rPr>
          <w:t xml:space="preserve">https://doi.org/10.1088/1748-9326/11/11/114007</w:t>
        </w:r>
      </w:hyperlink>
    </w:p>
    <w:bookmarkEnd w:id="166"/>
    <w:bookmarkStart w:id="168"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67">
        <w:r>
          <w:rPr>
            <w:rStyle w:val="Hyperlink"/>
          </w:rPr>
          <w:t xml:space="preserve">https://doi.org/10.1111/jvs.12025</w:t>
        </w:r>
      </w:hyperlink>
    </w:p>
    <w:bookmarkEnd w:id="168"/>
    <w:bookmarkStart w:id="170"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69">
        <w:r>
          <w:rPr>
            <w:rStyle w:val="Hyperlink"/>
          </w:rPr>
          <w:t xml:space="preserve">https://doi.org/10.1016/j.agrformet.2017.08.007</w:t>
        </w:r>
      </w:hyperlink>
    </w:p>
    <w:bookmarkEnd w:id="170"/>
    <w:bookmarkStart w:id="172"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71">
        <w:r>
          <w:rPr>
            <w:rStyle w:val="Hyperlink"/>
          </w:rPr>
          <w:t xml:space="preserve">https://doi.org/10.1111/gcb.14120</w:t>
        </w:r>
      </w:hyperlink>
    </w:p>
    <w:bookmarkEnd w:id="172"/>
    <w:bookmarkStart w:id="174"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173">
        <w:r>
          <w:rPr>
            <w:rStyle w:val="Hyperlink"/>
          </w:rPr>
          <w:t xml:space="preserve">https://doi.org/10.5194/cp-9-1481-2013</w:t>
        </w:r>
      </w:hyperlink>
    </w:p>
    <w:bookmarkEnd w:id="174"/>
    <w:bookmarkStart w:id="176"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175">
        <w:r>
          <w:rPr>
            <w:rStyle w:val="Hyperlink"/>
          </w:rPr>
          <w:t xml:space="preserve">https://doi.org/10.1016/j.agrformet.2017.07.015</w:t>
        </w:r>
      </w:hyperlink>
    </w:p>
    <w:bookmarkEnd w:id="176"/>
    <w:bookmarkStart w:id="178"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177">
        <w:r>
          <w:rPr>
            <w:rStyle w:val="Hyperlink"/>
          </w:rPr>
          <w:t xml:space="preserve">https://doi.org/10.1111/2041-210X.12590</w:t>
        </w:r>
      </w:hyperlink>
    </w:p>
    <w:bookmarkEnd w:id="178"/>
    <w:bookmarkStart w:id="180"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179">
        <w:r>
          <w:rPr>
            <w:rStyle w:val="Hyperlink"/>
          </w:rPr>
          <w:t xml:space="preserve">https://doi.org/10.1007/s00442-013-2846-x</w:t>
        </w:r>
      </w:hyperlink>
    </w:p>
    <w:bookmarkEnd w:id="180"/>
    <w:bookmarkStart w:id="182"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181">
        <w:r>
          <w:rPr>
            <w:rStyle w:val="Hyperlink"/>
          </w:rPr>
          <w:t xml:space="preserve">https://doi.org/10.1111/nph.16866</w:t>
        </w:r>
      </w:hyperlink>
    </w:p>
    <w:bookmarkEnd w:id="182"/>
    <w:bookmarkStart w:id="184" w:name="ref-williams_temperature_2012"/>
    <w:p>
      <w:pPr>
        <w:pStyle w:val="Bibliography"/>
      </w:pPr>
      <w:r>
        <w:t xml:space="preserve">Williams, A. P., Allen, C. D., Macalady, A. K., Griffin, D., Woodhouse, C. A., Meko, D. M., Swetnam, T. W., Rauscher, S. A., Seager, R., Grissino-Mayer, H. D., Dean, J. S., Cook, E. R., Gangodagamage, C., Cai, M., &amp; McDowell, N. G. (2012). Temperature as a potent driver of regional forest drought stress and tree mortality.</w:t>
      </w:r>
      <w:r>
        <w:t xml:space="preserve"> </w:t>
      </w:r>
      <w:r>
        <w:rPr>
          <w:i/>
        </w:rPr>
        <w:t xml:space="preserve">Nature Climate Change</w:t>
      </w:r>
      <w:r>
        <w:t xml:space="preserve">.</w:t>
      </w:r>
      <w:r>
        <w:t xml:space="preserve"> </w:t>
      </w:r>
      <w:hyperlink r:id="rId183">
        <w:r>
          <w:rPr>
            <w:rStyle w:val="Hyperlink"/>
          </w:rPr>
          <w:t xml:space="preserve">https://doi.org/10.1038/nclimate1693</w:t>
        </w:r>
      </w:hyperlink>
    </w:p>
    <w:bookmarkEnd w:id="184"/>
    <w:bookmarkStart w:id="186"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185">
        <w:r>
          <w:rPr>
            <w:rStyle w:val="Hyperlink"/>
          </w:rPr>
          <w:t xml:space="preserve">https://doi.org/10.1191/095968399667128516</w:t>
        </w:r>
      </w:hyperlink>
    </w:p>
    <w:bookmarkEnd w:id="186"/>
    <w:bookmarkStart w:id="188"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187">
        <w:r>
          <w:rPr>
            <w:rStyle w:val="Hyperlink"/>
          </w:rPr>
          <w:t xml:space="preserve">https://doi.org/10.1111/ecog.01335</w:t>
        </w:r>
      </w:hyperlink>
    </w:p>
    <w:bookmarkEnd w:id="188"/>
    <w:bookmarkEnd w:id="189"/>
    <w:bookmarkEnd w:id="190"/>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58" Target="https://doi.org/10.1002/2016JG003528" TargetMode="External" /><Relationship Type="http://schemas.openxmlformats.org/officeDocument/2006/relationships/hyperlink" Id="rId99" Target="https://doi.org/10.1002/ecm.1423" TargetMode="External" /><Relationship Type="http://schemas.openxmlformats.org/officeDocument/2006/relationships/hyperlink" Id="rId97" Target="https://doi.org/10.1002/ecs2.1889" TargetMode="External" /><Relationship Type="http://schemas.openxmlformats.org/officeDocument/2006/relationships/hyperlink" Id="rId152" Target="https://doi.org/10.1002/ecy.3264" TargetMode="External" /><Relationship Type="http://schemas.openxmlformats.org/officeDocument/2006/relationships/hyperlink" Id="rId118" Target="https://doi.org/10.1002/joc.3711" TargetMode="External" /><Relationship Type="http://schemas.openxmlformats.org/officeDocument/2006/relationships/hyperlink" Id="rId62" Target="https://doi.org/10.1007/978-3-319-61669-8" TargetMode="External" /><Relationship Type="http://schemas.openxmlformats.org/officeDocument/2006/relationships/hyperlink" Id="rId89" Target="https://doi.org/10.1007/BF00282374" TargetMode="External" /><Relationship Type="http://schemas.openxmlformats.org/officeDocument/2006/relationships/hyperlink" Id="rId179" Target="https://doi.org/10.1007/s00442-013-2846-x" TargetMode="External" /><Relationship Type="http://schemas.openxmlformats.org/officeDocument/2006/relationships/hyperlink" Id="rId60" Target="https://doi.org/10.1007/s00442-017-3879-3" TargetMode="External" /><Relationship Type="http://schemas.openxmlformats.org/officeDocument/2006/relationships/hyperlink" Id="rId58" Target="https://doi.org/10.1007/s00468-017-1629-0" TargetMode="External" /><Relationship Type="http://schemas.openxmlformats.org/officeDocument/2006/relationships/hyperlink" Id="rId110" Target="https://doi.org/10.1007/s10021-020-00501-y" TargetMode="External" /><Relationship Type="http://schemas.openxmlformats.org/officeDocument/2006/relationships/hyperlink" Id="rId116" Target="https://doi.org/10.1007/s10342-016-0982-7" TargetMode="External" /><Relationship Type="http://schemas.openxmlformats.org/officeDocument/2006/relationships/hyperlink" Id="rId95" Target="https://doi.org/10.1007/s10584-009-9594-2" TargetMode="External" /><Relationship Type="http://schemas.openxmlformats.org/officeDocument/2006/relationships/hyperlink" Id="rId133" Target="https://doi.org/10.1007/s10584-016-1720-3" TargetMode="External" /><Relationship Type="http://schemas.openxmlformats.org/officeDocument/2006/relationships/hyperlink" Id="rId108" Target="https://doi.org/10.1016/S0065-2504(08)60158-0" TargetMode="External" /><Relationship Type="http://schemas.openxmlformats.org/officeDocument/2006/relationships/hyperlink" Id="rId87" Target="https://doi.org/10.1016/S0378-1127(98)00242-4" TargetMode="External" /><Relationship Type="http://schemas.openxmlformats.org/officeDocument/2006/relationships/hyperlink" Id="rId73" Target="https://doi.org/10.1016/j.agrformet.2012.10.010" TargetMode="External" /><Relationship Type="http://schemas.openxmlformats.org/officeDocument/2006/relationships/hyperlink" Id="rId175" Target="https://doi.org/10.1016/j.agrformet.2017.07.015" TargetMode="External" /><Relationship Type="http://schemas.openxmlformats.org/officeDocument/2006/relationships/hyperlink" Id="rId169" Target="https://doi.org/10.1016/j.agrformet.2017.08.007" TargetMode="External" /><Relationship Type="http://schemas.openxmlformats.org/officeDocument/2006/relationships/hyperlink" Id="rId139" Target="https://doi.org/10.1016/j.cageo.2011.01.013" TargetMode="External" /><Relationship Type="http://schemas.openxmlformats.org/officeDocument/2006/relationships/hyperlink" Id="rId148" Target="https://doi.org/10.1016/j.dendro.2020.125678" TargetMode="External" /><Relationship Type="http://schemas.openxmlformats.org/officeDocument/2006/relationships/hyperlink" Id="rId156" Target="https://doi.org/10.1016/j.foreco.2015.08.034" TargetMode="External" /><Relationship Type="http://schemas.openxmlformats.org/officeDocument/2006/relationships/hyperlink" Id="rId101" Target="https://doi.org/10.1016/j.foreco.2020.118717" TargetMode="External" /><Relationship Type="http://schemas.openxmlformats.org/officeDocument/2006/relationships/hyperlink" Id="rId70" Target="https://doi.org/10.1017/S0266467406003312" TargetMode="External" /><Relationship Type="http://schemas.openxmlformats.org/officeDocument/2006/relationships/hyperlink" Id="rId56" Target="https://doi.org/10.1017/qua.2019.33" TargetMode="External" /><Relationship Type="http://schemas.openxmlformats.org/officeDocument/2006/relationships/hyperlink" Id="rId161" Target="https://doi.org/10.1038/nature12914" TargetMode="External" /><Relationship Type="http://schemas.openxmlformats.org/officeDocument/2006/relationships/hyperlink" Id="rId183" Target="https://doi.org/10.1038/nclimate1693" TargetMode="External" /><Relationship Type="http://schemas.openxmlformats.org/officeDocument/2006/relationships/hyperlink" Id="rId75" Target="https://doi.org/10.1038/nplants.2015.139" TargetMode="External" /><Relationship Type="http://schemas.openxmlformats.org/officeDocument/2006/relationships/hyperlink" Id="rId125" Target="https://doi.org/10.1038/s41467-018-07800-y" TargetMode="External" /><Relationship Type="http://schemas.openxmlformats.org/officeDocument/2006/relationships/hyperlink" Id="rId93" Target="https://doi.org/10.1038/s41467-020-14300-5" TargetMode="External" /><Relationship Type="http://schemas.openxmlformats.org/officeDocument/2006/relationships/hyperlink" Id="rId120" Target="https://doi.org/10.1038/s41597-020-0453-3" TargetMode="External" /><Relationship Type="http://schemas.openxmlformats.org/officeDocument/2006/relationships/hyperlink" Id="rId77" Target="https://doi.org/10.1078/1125-7865-00017" TargetMode="External" /><Relationship Type="http://schemas.openxmlformats.org/officeDocument/2006/relationships/hyperlink" Id="rId165" Target="https://doi.org/10.1088/1748-9326/11/11/114007" TargetMode="External" /><Relationship Type="http://schemas.openxmlformats.org/officeDocument/2006/relationships/hyperlink" Id="rId127" Target="https://doi.org/10.1093/treephys/tpaa091" TargetMode="External" /><Relationship Type="http://schemas.openxmlformats.org/officeDocument/2006/relationships/hyperlink" Id="rId68" Target="https://doi.org/10.1111/1365-2435.12470" TargetMode="External" /><Relationship Type="http://schemas.openxmlformats.org/officeDocument/2006/relationships/hyperlink" Id="rId177" Target="https://doi.org/10.1111/2041-210X.12590" TargetMode="External" /><Relationship Type="http://schemas.openxmlformats.org/officeDocument/2006/relationships/hyperlink" Id="rId150" Target="https://doi.org/10.1111/2041-210X.12753" TargetMode="External" /><Relationship Type="http://schemas.openxmlformats.org/officeDocument/2006/relationships/hyperlink" Id="rId187" Target="https://doi.org/10.1111/ecog.01335" TargetMode="External" /><Relationship Type="http://schemas.openxmlformats.org/officeDocument/2006/relationships/hyperlink" Id="rId85" Target="https://doi.org/10.1111/ele.12650" TargetMode="External" /><Relationship Type="http://schemas.openxmlformats.org/officeDocument/2006/relationships/hyperlink" Id="rId142" Target="https://doi.org/10.1111/gcb.12599" TargetMode="External" /><Relationship Type="http://schemas.openxmlformats.org/officeDocument/2006/relationships/hyperlink" Id="rId66" Target="https://doi.org/10.1111/gcb.12712" TargetMode="External" /><Relationship Type="http://schemas.openxmlformats.org/officeDocument/2006/relationships/hyperlink" Id="rId146" Target="https://doi.org/10.1111/gcb.12826" TargetMode="External" /><Relationship Type="http://schemas.openxmlformats.org/officeDocument/2006/relationships/hyperlink" Id="rId103" Target="https://doi.org/10.1111/gcb.13208" TargetMode="External" /><Relationship Type="http://schemas.openxmlformats.org/officeDocument/2006/relationships/hyperlink" Id="rId83" Target="https://doi.org/10.1111/gcb.13366" TargetMode="External" /><Relationship Type="http://schemas.openxmlformats.org/officeDocument/2006/relationships/hyperlink" Id="rId81" Target="https://doi.org/10.1111/gcb.13535" TargetMode="External" /><Relationship Type="http://schemas.openxmlformats.org/officeDocument/2006/relationships/hyperlink" Id="rId171" Target="https://doi.org/10.1111/gcb.14120" TargetMode="External" /><Relationship Type="http://schemas.openxmlformats.org/officeDocument/2006/relationships/hyperlink" Id="rId131" Target="https://doi.org/10.1111/gcb.14273" TargetMode="External" /><Relationship Type="http://schemas.openxmlformats.org/officeDocument/2006/relationships/hyperlink" Id="rId144" Target="https://doi.org/10.1111/j.1365-2486.2010.02222.x" TargetMode="External" /><Relationship Type="http://schemas.openxmlformats.org/officeDocument/2006/relationships/hyperlink" Id="rId154" Target="https://doi.org/10.1111/j.1469-8137.2007.02235.x" TargetMode="External" /><Relationship Type="http://schemas.openxmlformats.org/officeDocument/2006/relationships/hyperlink" Id="rId167" Target="https://doi.org/10.1111/jvs.12025" TargetMode="External" /><Relationship Type="http://schemas.openxmlformats.org/officeDocument/2006/relationships/hyperlink" Id="rId129" Target="https://doi.org/10.1111/nph.15668" TargetMode="External" /><Relationship Type="http://schemas.openxmlformats.org/officeDocument/2006/relationships/hyperlink" Id="rId122" Target="https://doi.org/10.1111/nph.15906" TargetMode="External" /><Relationship Type="http://schemas.openxmlformats.org/officeDocument/2006/relationships/hyperlink" Id="rId181" Target="https://doi.org/10.1111/nph.16866" TargetMode="External" /><Relationship Type="http://schemas.openxmlformats.org/officeDocument/2006/relationships/hyperlink" Id="rId137" Target="https://doi.org/10.1111/nph.16996" TargetMode="External" /><Relationship Type="http://schemas.openxmlformats.org/officeDocument/2006/relationships/hyperlink" Id="rId163" Target="https://doi.org/10.1126/science.aaw7578" TargetMode="External" /><Relationship Type="http://schemas.openxmlformats.org/officeDocument/2006/relationships/hyperlink" Id="rId135"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105" Target="https://doi.org/10.1175/JCLI3800.1" TargetMode="External" /><Relationship Type="http://schemas.openxmlformats.org/officeDocument/2006/relationships/hyperlink" Id="rId91" Target="https://doi.org/10.1177/095968369700700314" TargetMode="External" /><Relationship Type="http://schemas.openxmlformats.org/officeDocument/2006/relationships/hyperlink" Id="rId185" Target="https://doi.org/10.1191/095968399667128516" TargetMode="External" /><Relationship Type="http://schemas.openxmlformats.org/officeDocument/2006/relationships/hyperlink" Id="rId114" Target="https://doi.org/10.2307/1937545" TargetMode="External" /><Relationship Type="http://schemas.openxmlformats.org/officeDocument/2006/relationships/hyperlink" Id="rId173" Target="https://doi.org/10.5194/cp-9-1481-2013" TargetMode="External" /><Relationship Type="http://schemas.openxmlformats.org/officeDocument/2006/relationships/hyperlink" Id="rId64" Target="https://doi.org/10.5281/ZENODO.3958215" TargetMode="External" /><Relationship Type="http://schemas.openxmlformats.org/officeDocument/2006/relationships/hyperlink" Id="rId112" Target="https://doi.org/10.5281/ZENODO.4070038" TargetMode="External" /><Relationship Type="http://schemas.openxmlformats.org/officeDocument/2006/relationships/hyperlink" Id="rId45" Target="https://esajournals-onlinelibrary-wiley-com.smithsonian.idm.oclc.org/doi/epdf/10.1890/06-1039.1" TargetMode="External" /><Relationship Type="http://schemas.openxmlformats.org/officeDocument/2006/relationships/hyperlink" Id="rId39" Target="https://github.com/EcoClimLab/ForestGEO-climate-sensitivity/issues/42" TargetMode="External" /><Relationship Type="http://schemas.openxmlformats.org/officeDocument/2006/relationships/hyperlink" Id="rId46"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58" Target="https://doi.org/10.1002/2016JG003528" TargetMode="External" /><Relationship Type="http://schemas.openxmlformats.org/officeDocument/2006/relationships/hyperlink" Id="rId99" Target="https://doi.org/10.1002/ecm.1423" TargetMode="External" /><Relationship Type="http://schemas.openxmlformats.org/officeDocument/2006/relationships/hyperlink" Id="rId97" Target="https://doi.org/10.1002/ecs2.1889" TargetMode="External" /><Relationship Type="http://schemas.openxmlformats.org/officeDocument/2006/relationships/hyperlink" Id="rId152" Target="https://doi.org/10.1002/ecy.3264" TargetMode="External" /><Relationship Type="http://schemas.openxmlformats.org/officeDocument/2006/relationships/hyperlink" Id="rId118" Target="https://doi.org/10.1002/joc.3711" TargetMode="External" /><Relationship Type="http://schemas.openxmlformats.org/officeDocument/2006/relationships/hyperlink" Id="rId62" Target="https://doi.org/10.1007/978-3-319-61669-8" TargetMode="External" /><Relationship Type="http://schemas.openxmlformats.org/officeDocument/2006/relationships/hyperlink" Id="rId89" Target="https://doi.org/10.1007/BF00282374" TargetMode="External" /><Relationship Type="http://schemas.openxmlformats.org/officeDocument/2006/relationships/hyperlink" Id="rId179" Target="https://doi.org/10.1007/s00442-013-2846-x" TargetMode="External" /><Relationship Type="http://schemas.openxmlformats.org/officeDocument/2006/relationships/hyperlink" Id="rId60" Target="https://doi.org/10.1007/s00442-017-3879-3" TargetMode="External" /><Relationship Type="http://schemas.openxmlformats.org/officeDocument/2006/relationships/hyperlink" Id="rId58" Target="https://doi.org/10.1007/s00468-017-1629-0" TargetMode="External" /><Relationship Type="http://schemas.openxmlformats.org/officeDocument/2006/relationships/hyperlink" Id="rId110" Target="https://doi.org/10.1007/s10021-020-00501-y" TargetMode="External" /><Relationship Type="http://schemas.openxmlformats.org/officeDocument/2006/relationships/hyperlink" Id="rId116" Target="https://doi.org/10.1007/s10342-016-0982-7" TargetMode="External" /><Relationship Type="http://schemas.openxmlformats.org/officeDocument/2006/relationships/hyperlink" Id="rId95" Target="https://doi.org/10.1007/s10584-009-9594-2" TargetMode="External" /><Relationship Type="http://schemas.openxmlformats.org/officeDocument/2006/relationships/hyperlink" Id="rId133" Target="https://doi.org/10.1007/s10584-016-1720-3" TargetMode="External" /><Relationship Type="http://schemas.openxmlformats.org/officeDocument/2006/relationships/hyperlink" Id="rId108" Target="https://doi.org/10.1016/S0065-2504(08)60158-0" TargetMode="External" /><Relationship Type="http://schemas.openxmlformats.org/officeDocument/2006/relationships/hyperlink" Id="rId87" Target="https://doi.org/10.1016/S0378-1127(98)00242-4" TargetMode="External" /><Relationship Type="http://schemas.openxmlformats.org/officeDocument/2006/relationships/hyperlink" Id="rId73" Target="https://doi.org/10.1016/j.agrformet.2012.10.010" TargetMode="External" /><Relationship Type="http://schemas.openxmlformats.org/officeDocument/2006/relationships/hyperlink" Id="rId175" Target="https://doi.org/10.1016/j.agrformet.2017.07.015" TargetMode="External" /><Relationship Type="http://schemas.openxmlformats.org/officeDocument/2006/relationships/hyperlink" Id="rId169" Target="https://doi.org/10.1016/j.agrformet.2017.08.007" TargetMode="External" /><Relationship Type="http://schemas.openxmlformats.org/officeDocument/2006/relationships/hyperlink" Id="rId139" Target="https://doi.org/10.1016/j.cageo.2011.01.013" TargetMode="External" /><Relationship Type="http://schemas.openxmlformats.org/officeDocument/2006/relationships/hyperlink" Id="rId148" Target="https://doi.org/10.1016/j.dendro.2020.125678" TargetMode="External" /><Relationship Type="http://schemas.openxmlformats.org/officeDocument/2006/relationships/hyperlink" Id="rId156" Target="https://doi.org/10.1016/j.foreco.2015.08.034" TargetMode="External" /><Relationship Type="http://schemas.openxmlformats.org/officeDocument/2006/relationships/hyperlink" Id="rId101" Target="https://doi.org/10.1016/j.foreco.2020.118717" TargetMode="External" /><Relationship Type="http://schemas.openxmlformats.org/officeDocument/2006/relationships/hyperlink" Id="rId70" Target="https://doi.org/10.1017/S0266467406003312" TargetMode="External" /><Relationship Type="http://schemas.openxmlformats.org/officeDocument/2006/relationships/hyperlink" Id="rId56" Target="https://doi.org/10.1017/qua.2019.33" TargetMode="External" /><Relationship Type="http://schemas.openxmlformats.org/officeDocument/2006/relationships/hyperlink" Id="rId161" Target="https://doi.org/10.1038/nature12914" TargetMode="External" /><Relationship Type="http://schemas.openxmlformats.org/officeDocument/2006/relationships/hyperlink" Id="rId183" Target="https://doi.org/10.1038/nclimate1693" TargetMode="External" /><Relationship Type="http://schemas.openxmlformats.org/officeDocument/2006/relationships/hyperlink" Id="rId75" Target="https://doi.org/10.1038/nplants.2015.139" TargetMode="External" /><Relationship Type="http://schemas.openxmlformats.org/officeDocument/2006/relationships/hyperlink" Id="rId125" Target="https://doi.org/10.1038/s41467-018-07800-y" TargetMode="External" /><Relationship Type="http://schemas.openxmlformats.org/officeDocument/2006/relationships/hyperlink" Id="rId93" Target="https://doi.org/10.1038/s41467-020-14300-5" TargetMode="External" /><Relationship Type="http://schemas.openxmlformats.org/officeDocument/2006/relationships/hyperlink" Id="rId120" Target="https://doi.org/10.1038/s41597-020-0453-3" TargetMode="External" /><Relationship Type="http://schemas.openxmlformats.org/officeDocument/2006/relationships/hyperlink" Id="rId77" Target="https://doi.org/10.1078/1125-7865-00017" TargetMode="External" /><Relationship Type="http://schemas.openxmlformats.org/officeDocument/2006/relationships/hyperlink" Id="rId165" Target="https://doi.org/10.1088/1748-9326/11/11/114007" TargetMode="External" /><Relationship Type="http://schemas.openxmlformats.org/officeDocument/2006/relationships/hyperlink" Id="rId127" Target="https://doi.org/10.1093/treephys/tpaa091" TargetMode="External" /><Relationship Type="http://schemas.openxmlformats.org/officeDocument/2006/relationships/hyperlink" Id="rId68" Target="https://doi.org/10.1111/1365-2435.12470" TargetMode="External" /><Relationship Type="http://schemas.openxmlformats.org/officeDocument/2006/relationships/hyperlink" Id="rId177" Target="https://doi.org/10.1111/2041-210X.12590" TargetMode="External" /><Relationship Type="http://schemas.openxmlformats.org/officeDocument/2006/relationships/hyperlink" Id="rId150" Target="https://doi.org/10.1111/2041-210X.12753" TargetMode="External" /><Relationship Type="http://schemas.openxmlformats.org/officeDocument/2006/relationships/hyperlink" Id="rId187" Target="https://doi.org/10.1111/ecog.01335" TargetMode="External" /><Relationship Type="http://schemas.openxmlformats.org/officeDocument/2006/relationships/hyperlink" Id="rId85" Target="https://doi.org/10.1111/ele.12650" TargetMode="External" /><Relationship Type="http://schemas.openxmlformats.org/officeDocument/2006/relationships/hyperlink" Id="rId142" Target="https://doi.org/10.1111/gcb.12599" TargetMode="External" /><Relationship Type="http://schemas.openxmlformats.org/officeDocument/2006/relationships/hyperlink" Id="rId66" Target="https://doi.org/10.1111/gcb.12712" TargetMode="External" /><Relationship Type="http://schemas.openxmlformats.org/officeDocument/2006/relationships/hyperlink" Id="rId146" Target="https://doi.org/10.1111/gcb.12826" TargetMode="External" /><Relationship Type="http://schemas.openxmlformats.org/officeDocument/2006/relationships/hyperlink" Id="rId103" Target="https://doi.org/10.1111/gcb.13208" TargetMode="External" /><Relationship Type="http://schemas.openxmlformats.org/officeDocument/2006/relationships/hyperlink" Id="rId83" Target="https://doi.org/10.1111/gcb.13366" TargetMode="External" /><Relationship Type="http://schemas.openxmlformats.org/officeDocument/2006/relationships/hyperlink" Id="rId81" Target="https://doi.org/10.1111/gcb.13535" TargetMode="External" /><Relationship Type="http://schemas.openxmlformats.org/officeDocument/2006/relationships/hyperlink" Id="rId171" Target="https://doi.org/10.1111/gcb.14120" TargetMode="External" /><Relationship Type="http://schemas.openxmlformats.org/officeDocument/2006/relationships/hyperlink" Id="rId131" Target="https://doi.org/10.1111/gcb.14273" TargetMode="External" /><Relationship Type="http://schemas.openxmlformats.org/officeDocument/2006/relationships/hyperlink" Id="rId144" Target="https://doi.org/10.1111/j.1365-2486.2010.02222.x" TargetMode="External" /><Relationship Type="http://schemas.openxmlformats.org/officeDocument/2006/relationships/hyperlink" Id="rId154" Target="https://doi.org/10.1111/j.1469-8137.2007.02235.x" TargetMode="External" /><Relationship Type="http://schemas.openxmlformats.org/officeDocument/2006/relationships/hyperlink" Id="rId167" Target="https://doi.org/10.1111/jvs.12025" TargetMode="External" /><Relationship Type="http://schemas.openxmlformats.org/officeDocument/2006/relationships/hyperlink" Id="rId129" Target="https://doi.org/10.1111/nph.15668" TargetMode="External" /><Relationship Type="http://schemas.openxmlformats.org/officeDocument/2006/relationships/hyperlink" Id="rId122" Target="https://doi.org/10.1111/nph.15906" TargetMode="External" /><Relationship Type="http://schemas.openxmlformats.org/officeDocument/2006/relationships/hyperlink" Id="rId181" Target="https://doi.org/10.1111/nph.16866" TargetMode="External" /><Relationship Type="http://schemas.openxmlformats.org/officeDocument/2006/relationships/hyperlink" Id="rId137" Target="https://doi.org/10.1111/nph.16996" TargetMode="External" /><Relationship Type="http://schemas.openxmlformats.org/officeDocument/2006/relationships/hyperlink" Id="rId163" Target="https://doi.org/10.1126/science.aaw7578" TargetMode="External" /><Relationship Type="http://schemas.openxmlformats.org/officeDocument/2006/relationships/hyperlink" Id="rId135"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105" Target="https://doi.org/10.1175/JCLI3800.1" TargetMode="External" /><Relationship Type="http://schemas.openxmlformats.org/officeDocument/2006/relationships/hyperlink" Id="rId91" Target="https://doi.org/10.1177/095968369700700314" TargetMode="External" /><Relationship Type="http://schemas.openxmlformats.org/officeDocument/2006/relationships/hyperlink" Id="rId185" Target="https://doi.org/10.1191/095968399667128516" TargetMode="External" /><Relationship Type="http://schemas.openxmlformats.org/officeDocument/2006/relationships/hyperlink" Id="rId114" Target="https://doi.org/10.2307/1937545" TargetMode="External" /><Relationship Type="http://schemas.openxmlformats.org/officeDocument/2006/relationships/hyperlink" Id="rId173" Target="https://doi.org/10.5194/cp-9-1481-2013" TargetMode="External" /><Relationship Type="http://schemas.openxmlformats.org/officeDocument/2006/relationships/hyperlink" Id="rId64" Target="https://doi.org/10.5281/ZENODO.3958215" TargetMode="External" /><Relationship Type="http://schemas.openxmlformats.org/officeDocument/2006/relationships/hyperlink" Id="rId112" Target="https://doi.org/10.5281/ZENODO.4070038" TargetMode="External" /><Relationship Type="http://schemas.openxmlformats.org/officeDocument/2006/relationships/hyperlink" Id="rId45" Target="https://esajournals-onlinelibrary-wiley-com.smithsonian.idm.oclc.org/doi/epdf/10.1890/06-1039.1" TargetMode="External" /><Relationship Type="http://schemas.openxmlformats.org/officeDocument/2006/relationships/hyperlink" Id="rId39" Target="https://github.com/EcoClimLab/ForestGEO-climate-sensitivity/issues/42" TargetMode="External" /><Relationship Type="http://schemas.openxmlformats.org/officeDocument/2006/relationships/hyperlink" Id="rId46"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2021-01-05T13:09:52Z</dcterms:created>
  <dcterms:modified xsi:type="dcterms:W3CDTF">2021-01-05T13:09:52Z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vt:lpwstr>
  </property>
  <property fmtid="{D5CDD505-2E9C-101B-9397-08002B2CF9AE}" pid="5" name="output">
    <vt:lpwstr/>
  </property>
</Properties>
</file>